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spacing w:before="720" w:after="200" w:line="240" w:lineRule="auto"/>
        <w:ind w:firstLine="0" w:left="0" w:right="0"/>
        <w:jc w:val="center"/>
      </w:pPr>
    </w:p>
    <w:p>
      <w:pPr>
        <w:spacing w:before="0" w:after="1360" w:line="240" w:lineRule="auto"/>
        <w:ind w:firstLine="0" w:left="0" w:right="0"/>
        <w:jc w:val="center"/>
      </w:pPr>
    </w:p>
    <w:p>
      <w:pPr>
        <w:spacing w:before="0" w:after="240" w:line="276" w:lineRule="auto"/>
        <w:ind w:firstLine="0" w:left="0" w:right="0"/>
        <w:jc w:val="center"/>
      </w:pPr>
      <w:r>
        <w:rPr>
          <w:rFonts w:ascii="Times New Roman" w:hAnsi="Times New Roman"/>
          <w:b/>
          <w:i w:val="0"/>
          <w:smallCaps w:val="0"/>
          <w:sz w:val="28"/>
        </w:rPr>
        <w:t>Microfinance as a Catalyst for Rural Resilience: Examining Effects on Household Coping Strategies in South Asia</w:t>
      </w:r>
    </w:p>
    <w:p>
      <w:pPr>
        <w:spacing w:before="160" w:after="320" w:line="240" w:lineRule="auto"/>
        <w:ind w:firstLine="0" w:left="0" w:right="0"/>
        <w:jc w:val="center"/>
      </w:pPr>
      <w:r>
        <w:rPr>
          <w:rFonts w:ascii="Times New Roman" w:hAnsi="Times New Roman"/>
          <w:b w:val="0"/>
          <w:i w:val="0"/>
          <w:smallCaps/>
          <w:sz w:val="20"/>
        </w:rPr>
        <w:t>Bachelor Draft</w:t>
      </w:r>
    </w:p>
    <w:p>
      <w:pPr>
        <w:spacing w:before="0" w:after="200" w:line="240" w:lineRule="auto"/>
        <w:ind w:firstLine="0" w:left="0" w:right="0"/>
        <w:jc w:val="center"/>
      </w:pPr>
      <w:r>
        <w:rPr>
          <w:rFonts w:ascii="Times New Roman" w:hAnsi="Times New Roman"/>
          <w:b w:val="0"/>
          <w:i w:val="0"/>
          <w:smallCaps w:val="0"/>
          <w:sz w:val="20"/>
        </w:rPr>
        <w:t>submitted in partial fulfillment of the requirements for the degree of</w:t>
      </w:r>
    </w:p>
    <w:p>
      <w:pPr>
        <w:spacing w:before="0" w:after="1120" w:line="240" w:lineRule="auto"/>
        <w:ind w:firstLine="0" w:left="0" w:right="0"/>
        <w:jc w:val="center"/>
      </w:pPr>
      <w:r>
        <w:rPr>
          <w:rFonts w:ascii="Times New Roman" w:hAnsi="Times New Roman"/>
          <w:b/>
          <w:i w:val="0"/>
          <w:smallCaps w:val="0"/>
          <w:sz w:val="20"/>
        </w:rPr>
        <w:t>Bachelor of Science</w:t>
      </w:r>
    </w:p>
    <w:p>
      <w:pPr>
        <w:spacing w:before="0" w:after="1720" w:line="240" w:lineRule="auto"/>
        <w:ind w:firstLine="0" w:left="0" w:right="0"/>
        <w:jc w:val="center"/>
      </w:pPr>
    </w:p>
    <w:p>
      <w:pPr>
        <w:spacing w:before="0" w:after="0" w:line="240" w:lineRule="auto"/>
        <w:ind w:firstLine="0" w:left="0" w:right="0"/>
        <w:jc w:val="center"/>
      </w:pPr>
      <w:r>
        <w:rPr>
          <w:rFonts w:ascii="Times New Roman" w:hAnsi="Times New Roman"/>
          <w:b w:val="0"/>
          <w:i w:val="0"/>
          <w:smallCaps w:val="0"/>
          <w:sz w:val="20"/>
        </w:rPr>
        <w:t>June 2026</w:t>
      </w:r>
      <w:r>
        <w:br w:type="page"/>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9" w:name="abstract"/>
    <w:p>
      <w:pPr>
        <w:pStyle w:val="Heading2"/>
      </w:pPr>
      <w:r>
        <w:t xml:space="preserve">Abstract</w:t>
      </w:r>
    </w:p>
    <w:p>
      <w:pPr>
        <w:pStyle w:val="FirstParagraph"/>
      </w:pPr>
      <w:r>
        <w:rPr>
          <w:b/>
          <w:bCs/>
        </w:rPr>
        <w:t xml:space="preserve">Research Problem and Approach:</w:t>
      </w:r>
      <w:r>
        <w:t xml:space="preserve"> </w:t>
      </w:r>
      <w:r>
        <w:t xml:space="preserve">Rural households in South Asia face persistent economic vulnerabilities that formal financial systems have largely failed to address. Microfinance emerged as a deliberate institutional response to this exclusion, yet the academic literature on its capacity to build household resilience remains fragmented and contradictory across Bangladesh, India, Pakistan, Nepal, and Sri Lanka. This thesis synthesises evidence from the region to critically examine whether microfinance participation strengthens household resilience--the ability to absorb economic disruptions without falling into destitution.</w:t>
      </w:r>
    </w:p>
    <w:p>
      <w:pPr>
        <w:pStyle w:val="BodyText"/>
      </w:pPr>
      <w:r>
        <w:rPr>
          <w:b/>
          <w:bCs/>
        </w:rPr>
        <w:t xml:space="preserve">Methodology and Findings:</w:t>
      </w:r>
      <w:r>
        <w:t xml:space="preserve"> </w:t>
      </w:r>
      <w:r>
        <w:t xml:space="preserve">Through a thorough review of empirical studies spanning income smoothing, women’s empowerment, and shock-coping mechanisms, this research reveals that microfinance produces uneven and context-dependent outcomes. While some evidence shows that access to credit reduces distress sales of productive assets and modestly improves women’s decision-making power within households, other studies reveal that repayment pressure, debt accumulation, and the reinforcement of existing social inequalities can undermine resilience, particularly during systemic crises such as the COVID-19 pandemic.</w:t>
      </w:r>
    </w:p>
    <w:p>
      <w:pPr>
        <w:pStyle w:val="BodyText"/>
      </w:pPr>
      <w:r>
        <w:rPr>
          <w:b/>
          <w:bCs/>
        </w:rPr>
        <w:t xml:space="preserve">Key Contributions:</w:t>
      </w:r>
      <w:r>
        <w:t xml:space="preserve"> </w:t>
      </w:r>
      <w:r>
        <w:t xml:space="preserve">This thesis makes three primary contributions: A systematic synthesis of fragmented evidence on microfinance and household resilience across South Asian contexts, An analysis of how income smoothing, women’s empowerment, and shock-coping mechanisms interact in shaping resilience outcomes, and A critical examination of tensions inherent in microfinance design--including group lending structures and repayment pressure--that can either build or erode household capacity to cope with shocks.</w:t>
      </w:r>
    </w:p>
    <w:p>
      <w:pPr>
        <w:pStyle w:val="BodyText"/>
      </w:pPr>
      <w:r>
        <w:rPr>
          <w:b/>
          <w:bCs/>
        </w:rPr>
        <w:t xml:space="preserve">Implications:</w:t>
      </w:r>
      <w:r>
        <w:t xml:space="preserve"> </w:t>
      </w:r>
      <w:r>
        <w:t xml:space="preserve">These findings suggest that scaling microfinance programs without addressing design features that create repayment distress may merely postpone vulnerability rather than build genuine, long-term resilience. The research provides guidance for policymakers and practitioners seeking to strengthen rural financial systems through complementary interventions that address the structural causes of household vulnerability in South Asia.</w:t>
      </w:r>
    </w:p>
    <w:p>
      <w:pPr>
        <w:pStyle w:val="BodyText"/>
      </w:pPr>
      <w:r>
        <w:rPr>
          <w:b/>
          <w:bCs/>
        </w:rPr>
        <w:t xml:space="preserve">Keywords:</w:t>
      </w:r>
      <w:r>
        <w:t xml:space="preserve"> </w:t>
      </w:r>
      <w:r>
        <w:t xml:space="preserve">Microfinance, Household Resilience, South Asia, Rural Poverty, Income Smoothing, Women’s Empowerment, Shock Coping, Consumption Smoothing, Debt Traps, Group Lending, Financial Inclusion, Bangladesh, India, Susceptibility, Development Economics</w:t>
      </w:r>
      <w:r>
        <w:br w:type="page"/>
      </w:r>
    </w:p>
    <w:bookmarkEnd w:id="9"/>
    <w:bookmarkStart w:id="15" w:name="introduction"/>
    <w:p>
      <w:pPr>
        <w:pStyle w:val="Heading1"/>
      </w:pPr>
      <w:r>
        <w:t xml:space="preserve">1. Introduction</w:t>
      </w:r>
    </w:p>
    <w:bookmarkStart w:id="10" w:name="background-and-motivation"/>
    <w:p>
      <w:pPr>
        <w:pStyle w:val="Heading2"/>
      </w:pPr>
      <w:r>
        <w:t xml:space="preserve">1.1 Background and Motivation</w:t>
      </w:r>
    </w:p>
    <w:p>
      <w:pPr>
        <w:pStyle w:val="FirstParagraph"/>
      </w:pPr>
      <w:r>
        <w:t xml:space="preserve">Rural households in South Asia face a constellation of economic vulnerabilities that make sustained well-being difficult to achieve. Erratic rainfall, rising input costs, health emergencies, and market volatility all threaten the fragile stability of families dependent on agriculture or informal labour. In Bangladesh, India, Pakistan, Nepal, and Sri Lanka, large segments of the rural population operate without formal insurance, reliable savings mechanisms, or access to affordable credit from mainstream banks. Microfinance emerged in the late twentieth century as a deliberate institutional response to this exclusion. By providing small loans, savings products, and occasionally insurance to low-income borrowers without collateral, microfinance institutions (MFIs) promised to fill a critical gap in rural financial systems.</w:t>
      </w:r>
    </w:p>
    <w:p>
      <w:pPr>
        <w:pStyle w:val="BodyText"/>
      </w:pPr>
      <w:r>
        <w:t xml:space="preserve">The logic underpinning microfinance as a development tool is straightforward. If poor households can borrow small amounts at reasonable interest rates, they can invest in productive assets, smooth consumption during lean periods, and build buffers against unexpected shocks. Over time, these repeated cycles of borrowing and repaying should strengthen household resilience--the capacity to absorb disruptions without falling into destitution. This thesis examines precisely that proposition, focusing on the evidence from South Asia, where microfinance has operated for decades and where rural poverty remains deeply entrenched.</w:t>
      </w:r>
    </w:p>
    <w:p>
      <w:pPr>
        <w:pStyle w:val="BodyText"/>
      </w:pPr>
      <w:r>
        <w:t xml:space="preserve">The scale of microfinance in the region is considerable. According to the Microfinance Information Exchange, South Asian MFIs serve tens of millions of clients, the majority of whom are women in rural areas. The Grameen Bank in Bangladesh, BRAC, and numerous Indian and Pakistani institutions have become global models. Yet the academic literature on microfinance’s impacts has produced a contentious and often contradictory set of findings. Some studies report positive effects on income, asset accumulation, and women’s empowerment. Others find modest or null effects, and a growing body of work highlights unintended consequences such as debt traps, increased household stress, and the reinforcement of existing inequalities. This mixed picture suggests that the simple narrative of microfinance as a universal good is inadequate. The mechanisms through which microfinance might build resilience are more complex than early proponents assumed.</w:t>
      </w:r>
    </w:p>
    <w:p>
      <w:pPr>
        <w:pStyle w:val="BodyText"/>
      </w:pPr>
      <w:r>
        <w:t xml:space="preserve">One important strand of research focuses on income smoothing. Households lacking financial access often cope with income shortfalls by drawing down savings, selling productive assets, or taking high-interest loans from informal moneylenders. Microfinance offers an alternative: a structured loan product that can be used to stabilise consumption across seasons. Mukherjee and Das (2018) argued that credit-constrained households in India used microfinance loans to smooth consumption, preventing the kind of distress sales that permanently erode livelihood capacity (Mukherjee &amp; Das, 2018). Similarly, Yap (2008), in an evaluation of a rural microfinance project in the Philippines, found that access to credit reduced the frequency of skipped meals and school dropout during periods of income shock (Yap, 2008). While the Philippines is outside South Asia, the mechanism is relevant to the region.</w:t>
      </w:r>
    </w:p>
    <w:p>
      <w:pPr>
        <w:pStyle w:val="BodyText"/>
      </w:pPr>
      <w:r>
        <w:t xml:space="preserve">A second major strand examines women’s empowerment. Microfinance programs have long been promoted as tools for improving women’s status within households, under the assumption that access to credit enhances bargaining power and decision-making authority. In Bangladesh, Murshid (2018) found that microfinance participation was associated with increased decision-making power for women in household financial matters, though the effects were uneven across different domains (Murshid, 2018). Other research, however, has raised concerns about unintended consequences. The pressure to repay loans on time can create new sources of tension within households, and women may not always retain control over the borrowed funds.</w:t>
      </w:r>
    </w:p>
    <w:p>
      <w:pPr>
        <w:pStyle w:val="BodyText"/>
      </w:pPr>
      <w:r>
        <w:t xml:space="preserve">A third strand investigates how microfinance affects household capacity to cope with shocks. Adhikari, Adhikari, and Dhungana (2026) studied microinsurance adoption and financial resilience in developing countries, noting that while microinsurance can protect against specific shocks, uptake remains low and institutional sustainability is fragile (ADHIKARI et al., 2026). Toth (2020) examined Myanmar’s microfinance sector during the COVID-19 crisis and found that while some MFIs adapted by restructuring loans, many clients faced severe repayment difficulties, raising questions about whether microfinance genuinely protects households in systemic crises (Toth, 2020).</w:t>
      </w:r>
    </w:p>
    <w:p>
      <w:pPr>
        <w:pStyle w:val="BodyText"/>
      </w:pPr>
      <w:r>
        <w:t xml:space="preserve">These three streams--income smoothing, women’s empowerment, and shock coping--are often studied in isolation, yet they interact in ways that matter for resilience. A woman who gains decision-making power may use loans differently than one who does not. A household that smooths consumption successfully may be better positioned to cope with a health crisis. Repayment pressure, meanwhile, cuts across all three: it can incentivise timely repayment but also push households into distress if multiple shocks coincide. The South Asian setting is especially important because the region combines high poverty density, weak formal safety nets, and deeply entrenched gender norms.</w:t>
      </w:r>
    </w:p>
    <w:p>
      <w:pPr>
        <w:pStyle w:val="BodyText"/>
      </w:pPr>
      <w:r>
        <w:rPr>
          <w:i/>
          <w:iCs/>
        </w:rPr>
        <w:t xml:space="preserve">Table 1: Selected Studies on Microfinance and Household Resilience in South Asia</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865"/>
        <w:gridCol w:w="1310"/>
        <w:gridCol w:w="2393"/>
        <w:gridCol w:w="3792"/>
      </w:tblGrid>
      <w:tr>
        <w:trPr>
          <w:tblHeader w:val="on"/>
        </w:trPr>
        <w:tc>
          <w:tcPr>
            <w:tcW w:w="186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Author(s) and Year</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Country</w:t>
            </w:r>
          </w:p>
        </w:tc>
        <w:tc>
          <w:tcPr>
            <w:tcW w:w="239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Focus Area</w:t>
            </w:r>
          </w:p>
        </w:tc>
        <w:tc>
          <w:tcPr>
            <w:tcW w:w="379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Key Finding</w:t>
            </w:r>
          </w:p>
        </w:tc>
      </w:tr>
      <w:tr>
        <w:tc>
          <w:tcPr>
            <w:tcW w:w="1865" w:type="dxa"/>
          </w:tcPr>
          <w:p>
            <w:pPr>
              <w:pStyle w:val="Compact"/>
              <w:keepLines/>
              <w:spacing w:line="240" w:lineRule="auto" w:before="0" w:after="60"/>
              <w:ind w:firstLine="0" w:left="0" w:right="0"/>
              <w:jc w:val="left"/>
            </w:pPr>
            <w:r>
              <w:rPr>
                <w:rFonts w:ascii="Times New Roman" w:hAnsi="Times New Roman"/>
                <w:sz w:val="19"/>
              </w:rPr>
              <w:t xml:space="preserve">Murshid (2018)</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Bangladesh</w:t>
            </w:r>
          </w:p>
        </w:tc>
        <w:tc>
          <w:tcPr>
            <w:tcW w:w="2393" w:type="dxa"/>
          </w:tcPr>
          <w:p>
            <w:pPr>
              <w:pStyle w:val="Compact"/>
              <w:keepLines/>
              <w:spacing w:line="240" w:lineRule="auto" w:before="0" w:after="60"/>
              <w:ind w:firstLine="0" w:left="0" w:right="0"/>
              <w:jc w:val="left"/>
            </w:pPr>
            <w:r>
              <w:rPr>
                <w:rFonts w:ascii="Times New Roman" w:hAnsi="Times New Roman"/>
                <w:sz w:val="19"/>
              </w:rPr>
              <w:t xml:space="preserve">Women’s decision-making power</w:t>
            </w:r>
          </w:p>
        </w:tc>
        <w:tc>
          <w:tcPr>
            <w:tcW w:w="3792" w:type="dxa"/>
          </w:tcPr>
          <w:p>
            <w:pPr>
              <w:pStyle w:val="Compact"/>
              <w:keepLines/>
              <w:spacing w:line="240" w:lineRule="auto" w:before="0" w:after="60"/>
              <w:ind w:firstLine="0" w:left="0" w:right="0"/>
              <w:jc w:val="left"/>
            </w:pPr>
            <w:r>
              <w:rPr>
                <w:rFonts w:ascii="Times New Roman" w:hAnsi="Times New Roman"/>
                <w:sz w:val="19"/>
              </w:rPr>
              <w:t xml:space="preserve">Participation associated with increased household financial authority for women, yet effects varied by domain</w:t>
            </w:r>
          </w:p>
        </w:tc>
      </w:tr>
      <w:tr>
        <w:tc>
          <w:tcPr>
            <w:tcW w:w="1865" w:type="dxa"/>
          </w:tcPr>
          <w:p>
            <w:pPr>
              <w:pStyle w:val="Compact"/>
              <w:keepLines/>
              <w:spacing w:line="240" w:lineRule="auto" w:before="0" w:after="60"/>
              <w:ind w:firstLine="0" w:left="0" w:right="0"/>
              <w:jc w:val="left"/>
            </w:pPr>
            <w:r>
              <w:rPr>
                <w:rFonts w:ascii="Times New Roman" w:hAnsi="Times New Roman"/>
                <w:sz w:val="19"/>
              </w:rPr>
              <w:t xml:space="preserve">Mukherjee &amp; Das (2018)</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India</w:t>
            </w:r>
          </w:p>
        </w:tc>
        <w:tc>
          <w:tcPr>
            <w:tcW w:w="2393" w:type="dxa"/>
          </w:tcPr>
          <w:p>
            <w:pPr>
              <w:pStyle w:val="Compact"/>
              <w:keepLines/>
              <w:spacing w:line="240" w:lineRule="auto" w:before="0" w:after="60"/>
              <w:ind w:firstLine="0" w:left="0" w:right="0"/>
              <w:jc w:val="left"/>
            </w:pPr>
            <w:r>
              <w:rPr>
                <w:rFonts w:ascii="Times New Roman" w:hAnsi="Times New Roman"/>
                <w:sz w:val="19"/>
              </w:rPr>
              <w:t xml:space="preserve">Consumption smoothing</w:t>
            </w:r>
          </w:p>
        </w:tc>
        <w:tc>
          <w:tcPr>
            <w:tcW w:w="3792" w:type="dxa"/>
          </w:tcPr>
          <w:p>
            <w:pPr>
              <w:pStyle w:val="Compact"/>
              <w:keepLines/>
              <w:spacing w:line="240" w:lineRule="auto" w:before="0" w:after="60"/>
              <w:ind w:firstLine="0" w:left="0" w:right="0"/>
              <w:jc w:val="left"/>
            </w:pPr>
            <w:r>
              <w:rPr>
                <w:rFonts w:ascii="Times New Roman" w:hAnsi="Times New Roman"/>
                <w:sz w:val="19"/>
              </w:rPr>
              <w:t xml:space="preserve">Microfinance loans reduced distress sales of productive assets during income shortfalls</w:t>
            </w:r>
          </w:p>
        </w:tc>
      </w:tr>
      <w:tr>
        <w:tc>
          <w:tcPr>
            <w:tcW w:w="1865" w:type="dxa"/>
          </w:tcPr>
          <w:p>
            <w:pPr>
              <w:pStyle w:val="Compact"/>
              <w:keepLines/>
              <w:spacing w:line="240" w:lineRule="auto" w:before="0" w:after="60"/>
              <w:ind w:firstLine="0" w:left="0" w:right="0"/>
              <w:jc w:val="left"/>
            </w:pPr>
            <w:r>
              <w:rPr>
                <w:rFonts w:ascii="Times New Roman" w:hAnsi="Times New Roman"/>
                <w:sz w:val="19"/>
              </w:rPr>
              <w:t xml:space="preserve">K.S. Ranjani &amp; Singh (2019)</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South Asia</w:t>
            </w:r>
          </w:p>
        </w:tc>
        <w:tc>
          <w:tcPr>
            <w:tcW w:w="2393" w:type="dxa"/>
          </w:tcPr>
          <w:p>
            <w:pPr>
              <w:pStyle w:val="Compact"/>
              <w:keepLines/>
              <w:spacing w:line="240" w:lineRule="auto" w:before="0" w:after="60"/>
              <w:ind w:firstLine="0" w:left="0" w:right="0"/>
              <w:jc w:val="left"/>
            </w:pPr>
            <w:r>
              <w:rPr>
                <w:rFonts w:ascii="Times New Roman" w:hAnsi="Times New Roman"/>
                <w:sz w:val="19"/>
              </w:rPr>
              <w:t xml:space="preserve">MFI performance and training</w:t>
            </w:r>
          </w:p>
        </w:tc>
        <w:tc>
          <w:tcPr>
            <w:tcW w:w="3792" w:type="dxa"/>
          </w:tcPr>
          <w:p>
            <w:pPr>
              <w:pStyle w:val="Compact"/>
              <w:keepLines/>
              <w:spacing w:line="240" w:lineRule="auto" w:before="0" w:after="60"/>
              <w:ind w:firstLine="0" w:left="0" w:right="0"/>
              <w:jc w:val="left"/>
            </w:pPr>
            <w:r>
              <w:rPr>
                <w:rFonts w:ascii="Times New Roman" w:hAnsi="Times New Roman"/>
                <w:sz w:val="19"/>
              </w:rPr>
              <w:t xml:space="preserve">Reciprocity and training expenditure improved institutional performance and outreach</w:t>
            </w:r>
          </w:p>
        </w:tc>
      </w:tr>
      <w:tr>
        <w:tc>
          <w:tcPr>
            <w:tcW w:w="1865" w:type="dxa"/>
          </w:tcPr>
          <w:p>
            <w:pPr>
              <w:pStyle w:val="Compact"/>
              <w:keepLines/>
              <w:spacing w:line="240" w:lineRule="auto" w:before="0" w:after="60"/>
              <w:ind w:firstLine="0" w:left="0" w:right="0"/>
              <w:jc w:val="left"/>
            </w:pPr>
            <w:r>
              <w:rPr>
                <w:rFonts w:ascii="Times New Roman" w:hAnsi="Times New Roman"/>
                <w:sz w:val="19"/>
              </w:rPr>
              <w:t xml:space="preserve">Toth (2020)</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Myanmar</w:t>
            </w:r>
          </w:p>
        </w:tc>
        <w:tc>
          <w:tcPr>
            <w:tcW w:w="2393" w:type="dxa"/>
          </w:tcPr>
          <w:p>
            <w:pPr>
              <w:pStyle w:val="Compact"/>
              <w:keepLines/>
              <w:spacing w:line="240" w:lineRule="auto" w:before="0" w:after="60"/>
              <w:ind w:firstLine="0" w:left="0" w:right="0"/>
              <w:jc w:val="left"/>
            </w:pPr>
            <w:r>
              <w:rPr>
                <w:rFonts w:ascii="Times New Roman" w:hAnsi="Times New Roman"/>
                <w:sz w:val="19"/>
              </w:rPr>
              <w:t xml:space="preserve">Shock coping during COVID</w:t>
            </w:r>
          </w:p>
        </w:tc>
        <w:tc>
          <w:tcPr>
            <w:tcW w:w="3792" w:type="dxa"/>
          </w:tcPr>
          <w:p>
            <w:pPr>
              <w:pStyle w:val="Compact"/>
              <w:keepLines/>
              <w:spacing w:line="240" w:lineRule="auto" w:before="0" w:after="60"/>
              <w:ind w:firstLine="0" w:left="0" w:right="0"/>
              <w:jc w:val="left"/>
            </w:pPr>
            <w:r>
              <w:rPr>
                <w:rFonts w:ascii="Times New Roman" w:hAnsi="Times New Roman"/>
                <w:sz w:val="19"/>
              </w:rPr>
              <w:t xml:space="preserve">Loan restructuring helped some clients, but many faced severe repayment problems</w:t>
            </w:r>
          </w:p>
        </w:tc>
      </w:tr>
      <w:tr>
        <w:tc>
          <w:tcPr>
            <w:tcW w:w="1865" w:type="dxa"/>
          </w:tcPr>
          <w:p>
            <w:pPr>
              <w:pStyle w:val="Compact"/>
              <w:keepLines/>
              <w:spacing w:line="240" w:lineRule="auto" w:before="0" w:after="60"/>
              <w:ind w:firstLine="0" w:left="0" w:right="0"/>
              <w:jc w:val="left"/>
            </w:pPr>
            <w:r>
              <w:rPr>
                <w:rFonts w:ascii="Times New Roman" w:hAnsi="Times New Roman"/>
                <w:sz w:val="19"/>
              </w:rPr>
              <w:t xml:space="preserve">Tang et al. (2026)</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South Asia</w:t>
            </w:r>
          </w:p>
        </w:tc>
        <w:tc>
          <w:tcPr>
            <w:tcW w:w="2393" w:type="dxa"/>
          </w:tcPr>
          <w:p>
            <w:pPr>
              <w:pStyle w:val="Compact"/>
              <w:keepLines/>
              <w:spacing w:line="240" w:lineRule="auto" w:before="0" w:after="60"/>
              <w:ind w:firstLine="0" w:left="0" w:right="0"/>
              <w:jc w:val="left"/>
            </w:pPr>
            <w:r>
              <w:rPr>
                <w:rFonts w:ascii="Times New Roman" w:hAnsi="Times New Roman"/>
                <w:sz w:val="19"/>
              </w:rPr>
              <w:t xml:space="preserve">ICT governance and MFI efficiency</w:t>
            </w:r>
          </w:p>
        </w:tc>
        <w:tc>
          <w:tcPr>
            <w:tcW w:w="3792" w:type="dxa"/>
          </w:tcPr>
          <w:p>
            <w:pPr>
              <w:pStyle w:val="Compact"/>
              <w:keepLines/>
              <w:spacing w:line="240" w:lineRule="auto" w:before="0" w:after="60"/>
              <w:ind w:firstLine="0" w:left="0" w:right="0"/>
              <w:jc w:val="left"/>
            </w:pPr>
            <w:r>
              <w:rPr>
                <w:rFonts w:ascii="Times New Roman" w:hAnsi="Times New Roman"/>
                <w:sz w:val="19"/>
              </w:rPr>
              <w:t xml:space="preserve">ICT adoption improved dual efficiency (financial sustainability and social outreach) when governance was strong</w:t>
            </w:r>
          </w:p>
        </w:tc>
      </w:tr>
    </w:tbl>
    <w:p>
      <w:pPr>
        <w:pStyle w:val="BodyText"/>
      </w:pPr>
      <w:r>
        <w:rPr>
          <w:i/>
          <w:iCs/>
        </w:rPr>
        <w:t xml:space="preserve">Note.</w:t>
      </w:r>
      <w:r>
        <w:t xml:space="preserve"> </w:t>
      </w:r>
      <w:r>
        <w:t xml:space="preserve">These studies represent the main thematic clusters in the literature. Detailed findings are discussed in Chapter 2.</w:t>
      </w:r>
    </w:p>
    <w:p>
      <w:pPr>
        <w:pStyle w:val="BodyText"/>
      </w:pPr>
      <w:r>
        <w:t xml:space="preserve">The existing evidence, while valuable, remains fragmented. Meta-analyses and systematic reviews are rare, and much of the empirical work relies on small geographic areas, short time horizons, or specific program designs. This limits the ability to draw generalisable conclusions about microfinance’s impact on resilience in South Asia. Resilience itself is a contested concept, measured differently across studies--some use income volatility, others use asset retention, and still others use subjective well-being indicators. A careful synthesis that respects these definitional differences is overdue.</w:t>
      </w:r>
    </w:p>
    <w:p>
      <w:pPr>
        <w:pStyle w:val="BodyText"/>
      </w:pPr>
      <w:r>
        <w:t xml:space="preserve">Motivation for this thesis arises from two observations. First, policy makers in the region continue to scale up microfinance programs, often citing resilience benefits as justification. The World Bank, Asian Development Bank, and national governments invest considerable resources in microfinance infrastructure. Second, the academic debate remains unresolved, with recent randomised controlled trials (e.g., Banerjee et al., 2015, though not in this database) challenging earlier optimistic findings. South Asia, with its long history of microfinance and its concentrated rural poverty, is the ideal region to re-examine the question.</w:t>
      </w:r>
    </w:p>
    <w:bookmarkEnd w:id="10"/>
    <w:bookmarkStart w:id="11" w:name="problem-statement"/>
    <w:p>
      <w:pPr>
        <w:pStyle w:val="Heading2"/>
      </w:pPr>
      <w:r>
        <w:t xml:space="preserve">1.2 Problem Statement</w:t>
      </w:r>
    </w:p>
    <w:p>
      <w:pPr>
        <w:pStyle w:val="FirstParagraph"/>
      </w:pPr>
      <w:r>
        <w:t xml:space="preserve">Despite decades of microfinance operations in South Asia, a clear and thorough understanding of how microfinance contributes to rural household resilience is lacking. The problem is both conceptual and empirical. Conceptually, resilience is often reduced to a single metric--income level, asset count, or food security score--when in fact it is a multi-dimensional process involving anticipation, absorption, adaptation, and transformation. Microfinance may support some dimensions while undermining others. For example, a loan that enables consumption smoothing in one season may increase debt obligations that constrain adaptive capacity later.</w:t>
      </w:r>
    </w:p>
    <w:p>
      <w:pPr>
        <w:pStyle w:val="BodyText"/>
      </w:pPr>
      <w:r>
        <w:t xml:space="preserve">Empirically, the evidence base is marked by contradictory findings. Some studies report meaningful improvements in household welfare (K.S. Ranjani &amp; Singh, 2019, found that MFI performance in South Asia was positively linked to client outcomes when training and governance were adequate; K.S. Ranjani &amp; Poonam Singh, 2019). Others find that the poorest households are excluded from microfinance services, or that loan conditions inadvertently harm the most vulnerable. Moll (2007) highlighted the challenges of reaching remote rural areas with sustainable microfinance, noting that transaction costs and information asymmetries remain substantial barriers (Moll, 2007). Similarly, Tang et al. (2026) confirmed that the effectiveness of microfinance in South Asia depends critically on governance factors such as board independence and transparency (Tang et al., 2026). These findings suggest that microfinance is not a monolithic intervention; its effects are mediated by institutional design, local context, and borrower characteristics.</w:t>
      </w:r>
    </w:p>
    <w:p>
      <w:pPr>
        <w:pStyle w:val="BodyText"/>
      </w:pPr>
      <w:r>
        <w:t xml:space="preserve">A second dimension of the problem is the role of repayment pressure. Microfinance loans typically involve weekly or monthly instalments that begin soon after disbursement. For households with irregular income streams--common in agricultural settings--this repayment schedule can create severe cash-flow stress. Some borrowers resort to taking multiple loans from different MFIs to repay older ones, a practice that can lead to debt spirals. The literature on this issue is growing, but it has not been systematically integrated with the resilience framework.</w:t>
      </w:r>
    </w:p>
    <w:p>
      <w:pPr>
        <w:pStyle w:val="BodyText"/>
      </w:pPr>
      <w:r>
        <w:t xml:space="preserve">A third dimension is gender. Women constitute the majority of microfinance clients in South Asia, yet the empowerment effects are contested. While some studies find improvements in women’s participation in household decisions, others document increased domestic tension or even violence as a result of loan obligations (see Aktaruzzaman &amp; Guha-Khasnobis, 2012, though this source is background only; Aktaruzzaman &amp; Guha-Khasnobis, 2012). The relationship between microfinance, women’s empowerment, and household resilience is therefore complex and context-dependent.</w:t>
      </w:r>
    </w:p>
    <w:p>
      <w:pPr>
        <w:pStyle w:val="BodyText"/>
      </w:pPr>
      <w:r>
        <w:t xml:space="preserve">The central problem this thesis addresses is the fragmentation of the evidence. Without a structured synthesis that brings together the income smoothing, empowerment, and shock coping literatures--while accounting for mediating factors like repayment pressure--both academic understanding and policy guidance remain incomplete. South Asian governments and development agencies continue to invest in microfinance as a resilience-building tool, but the empirical support for this strategy is neither uniform nor unequivocal. A critical review of the available evidence is needed to clarify what microfinance can and cannot achieve in rural South Asian households.</w:t>
      </w:r>
    </w:p>
    <w:bookmarkEnd w:id="11"/>
    <w:bookmarkStart w:id="12" w:name="research-question-and-objectives"/>
    <w:p>
      <w:pPr>
        <w:pStyle w:val="Heading2"/>
      </w:pPr>
      <w:r>
        <w:t xml:space="preserve">1.3 Research Question and Objectives</w:t>
      </w:r>
    </w:p>
    <w:p>
      <w:pPr>
        <w:pStyle w:val="FirstParagraph"/>
      </w:pPr>
      <w:r>
        <w:t xml:space="preserve">This thesis is guided by the following overarching research question:</w:t>
      </w:r>
    </w:p>
    <w:p>
      <w:pPr>
        <w:pStyle w:val="BodyText"/>
      </w:pPr>
      <w:r>
        <w:rPr>
          <w:b/>
          <w:bCs/>
        </w:rPr>
        <w:t xml:space="preserve">How does microfinance affect rural household resilience in South Asia, and what mechanisms mediate this relationship?</w:t>
      </w:r>
    </w:p>
    <w:p>
      <w:pPr>
        <w:pStyle w:val="BodyText"/>
      </w:pPr>
      <w:r>
        <w:t xml:space="preserve">To answer this question, four specific objectives are pursued:</w:t>
      </w:r>
    </w:p>
    <w:p>
      <w:pPr>
        <w:pStyle w:val="Compact"/>
        <w:numPr>
          <w:ilvl w:val="0"/>
          <w:numId w:val="1001"/>
        </w:numPr>
      </w:pPr>
      <w:r>
        <w:t xml:space="preserve">To synthesise the empirical literature on microfinance’s impact on income smoothing and consumption stabilisation in rural South Asian households.</w:t>
      </w:r>
    </w:p>
    <w:p>
      <w:pPr>
        <w:pStyle w:val="Compact"/>
        <w:numPr>
          <w:ilvl w:val="0"/>
          <w:numId w:val="1001"/>
        </w:numPr>
      </w:pPr>
      <w:r>
        <w:t xml:space="preserve">To evaluate the evidence linking microfinance participation to women’s empowerment and improvements in household decision-making.</w:t>
      </w:r>
    </w:p>
    <w:p>
      <w:pPr>
        <w:pStyle w:val="Compact"/>
        <w:numPr>
          <w:ilvl w:val="0"/>
          <w:numId w:val="1001"/>
        </w:numPr>
      </w:pPr>
      <w:r>
        <w:t xml:space="preserve">To assess how microfinance affects households’ capacity to cope with both idiosyncratic shocks (e.g. illness, job loss) and covariate shocks (e.g. drought, pandemic).</w:t>
      </w:r>
    </w:p>
    <w:p>
      <w:pPr>
        <w:pStyle w:val="Compact"/>
        <w:numPr>
          <w:ilvl w:val="0"/>
          <w:numId w:val="1001"/>
        </w:numPr>
      </w:pPr>
      <w:r>
        <w:t xml:space="preserve">To identify the mediating role of repayment pressure, institutional governance, and borrower characteristics in shaping resilience outcomes.</w:t>
      </w:r>
    </w:p>
    <w:p>
      <w:pPr>
        <w:pStyle w:val="FirstParagraph"/>
      </w:pPr>
      <w:r>
        <w:t xml:space="preserve">These objectives are addressed through a narrative review of academic and institutional literature. The thesis does not conduct original data collection or statistical analysis; instead, it critically appraises and integrates existing findings to develop a conceptual framework that captures the multiple pathways through which microfinance may influence resilience.</w:t>
      </w:r>
    </w:p>
    <w:bookmarkEnd w:id="12"/>
    <w:bookmarkStart w:id="13" w:name="contribution"/>
    <w:p>
      <w:pPr>
        <w:pStyle w:val="Heading2"/>
      </w:pPr>
      <w:r>
        <w:t xml:space="preserve">1.4 Contribution</w:t>
      </w:r>
    </w:p>
    <w:p>
      <w:pPr>
        <w:pStyle w:val="FirstParagraph"/>
      </w:pPr>
      <w:r>
        <w:t xml:space="preserve">This thesis makes three contributions to the development economics and microfinance literature. First, it provides an integrated review that spans three thematic clusters--income smoothing, women’s empowerment, and shock coping--which are typically treated in separate research streams. By examining them together, the thesis highlights interdependencies and trade-offs that matter for policy design. For example, a loan product that enables consumption smoothing may simultaneously undermine women’s empowerment if repayment pressure reinforces patriarchal control over household finances. Such synergies and tensions are obscured when the literatures are read in isolation.</w:t>
      </w:r>
    </w:p>
    <w:p>
      <w:pPr>
        <w:pStyle w:val="BodyText"/>
      </w:pPr>
      <w:r>
        <w:t xml:space="preserve">Second, the thesis foregrounds the concept of resilience as a multi-dimensional outcome. Rather than treating microfinance’s impact as a simple binary (positive or negative), the review unpacks resilience into absorption, adaptive, and transformative capacities. This framework allows for a more nuanced assessment of when and how microfinance helps households not only survive shocks but also improve their long-term livelihood trajectories.</w:t>
      </w:r>
    </w:p>
    <w:p>
      <w:pPr>
        <w:pStyle w:val="BodyText"/>
      </w:pPr>
      <w:r>
        <w:t xml:space="preserve">Third, the thesis explicitly addresses repayment pressure as a cross-cutting mediating factor. While many studies mention repayment burdens in passing, few incorporate them as a central analytical variable. This review synthesises available evidence on repayment dynamics and incorporates them into the proposed conceptual framework. The result is a more realistic model of how microfinance operates in practice, which can inform both future research and program design.</w:t>
      </w:r>
    </w:p>
    <w:p>
      <w:pPr>
        <w:pStyle w:val="BodyText"/>
      </w:pPr>
      <w:r>
        <w:t xml:space="preserve">The choice of a narrative review methodology is deliberate. The literature on microfinance and resilience is methodologically heterogeneous, encompassing randomised experiments, quasi-experimental designs, qualitative case studies, and institutional analyses. A systematic review with strict inclusion criteria would exclude many valuable contributions. The narrative approach allows for a broader, more contextualised understanding while maintaining academic rigour.</w:t>
      </w:r>
    </w:p>
    <w:bookmarkEnd w:id="13"/>
    <w:bookmarkStart w:id="14" w:name="thesis-organisation"/>
    <w:p>
      <w:pPr>
        <w:pStyle w:val="Heading2"/>
      </w:pPr>
      <w:r>
        <w:t xml:space="preserve">1.5 Thesis Organisation</w:t>
      </w:r>
    </w:p>
    <w:p>
      <w:pPr>
        <w:pStyle w:val="FirstParagraph"/>
      </w:pPr>
      <w:r>
        <w:t xml:space="preserve">The thesis is structured in five chapters.</w:t>
      </w:r>
      <w:r>
        <w:t xml:space="preserve"> </w:t>
      </w:r>
      <w:r>
        <w:rPr>
          <w:b/>
          <w:bCs/>
        </w:rPr>
        <w:t xml:space="preserve">Chapter 1</w:t>
      </w:r>
      <w:r>
        <w:t xml:space="preserve"> </w:t>
      </w:r>
      <w:r>
        <w:t xml:space="preserve">provides the introduction, establishing the background, problem statement, research question, and contributions.</w:t>
      </w:r>
      <w:r>
        <w:t xml:space="preserve"> </w:t>
      </w:r>
      <w:r>
        <w:rPr>
          <w:b/>
          <w:bCs/>
        </w:rPr>
        <w:t xml:space="preserve">Chapter 2</w:t>
      </w:r>
      <w:r>
        <w:t xml:space="preserve"> </w:t>
      </w:r>
      <w:r>
        <w:t xml:space="preserve">presents the main body of the work, comprising the literature review, the review methodology, the synthesis of findings, and the discussion. The literature review is organised thematically around the three clusters of income smoothing, women’s empowerment, and shock coping, with a dedicated subsection on repayment pressure. The review methodology section describes the search strategy, inclusion criteria, screening process, and data extraction approach used to identify and select sources. The synthesis of findings integrates results across the thematic clusters and proposes a conceptual framework linking microfinance participation to household resilience. The discussion interprets the findings given existing theory, acknowledges methodological limitations of the reviewed literature, and outlines implications for future research and policy.</w:t>
      </w:r>
      <w:r>
        <w:t xml:space="preserve"> </w:t>
      </w:r>
      <w:r>
        <w:rPr>
          <w:b/>
          <w:bCs/>
        </w:rPr>
        <w:t xml:space="preserve">Chapter 3</w:t>
      </w:r>
      <w:r>
        <w:t xml:space="preserve"> </w:t>
      </w:r>
      <w:r>
        <w:t xml:space="preserve">concludes the thesis by summarising the main arguments, revisiting the research question, and suggesting directions for further empirical validation.</w:t>
      </w:r>
      <w:r>
        <w:t xml:space="preserve"> </w:t>
      </w:r>
      <w:r>
        <w:rPr>
          <w:b/>
          <w:bCs/>
        </w:rPr>
        <w:t xml:space="preserve">Appendices</w:t>
      </w:r>
      <w:r>
        <w:t xml:space="preserve"> </w:t>
      </w:r>
      <w:r>
        <w:t xml:space="preserve">and</w:t>
      </w:r>
      <w:r>
        <w:t xml:space="preserve"> </w:t>
      </w:r>
      <w:r>
        <w:rPr>
          <w:b/>
          <w:bCs/>
        </w:rPr>
        <w:t xml:space="preserve">References</w:t>
      </w:r>
      <w:r>
        <w:t xml:space="preserve"> </w:t>
      </w:r>
      <w:r>
        <w:t xml:space="preserve">follow.</w:t>
      </w:r>
    </w:p>
    <w:p>
      <w:pPr>
        <w:pStyle w:val="BodyText"/>
      </w:pPr>
      <w:r>
        <w:t xml:space="preserve">The thesis does not claim to conduct a systematic review with a formal protocol; rather, it offers a narrative analysis grounded in a transparent and reproducible search methodology. This approach is appropriate for a master’s thesis that aims to clarify a contested field and generate hypotheses for future work, rather than to produce definitive aggregate effect sizes.</w:t>
      </w:r>
    </w:p>
    <w:p>
      <w:pPr>
        <w:pStyle w:val="BodyText"/>
      </w:pPr>
      <w:r>
        <w:t xml:space="preserve">With this structure, the thesis proceeds to examine the literature in depth, beginning with the conceptual challenges of defining and measuring resilience in microfinance contexts.</w:t>
      </w:r>
    </w:p>
    <w:bookmarkEnd w:id="14"/>
    <w:bookmarkEnd w:id="15"/>
    <w:bookmarkStart w:id="53" w:name="main-body"/>
    <w:p>
      <w:pPr>
        <w:pStyle w:val="Heading1"/>
      </w:pPr>
      <w:r>
        <w:t xml:space="preserve">2. Main Body</w:t>
      </w:r>
    </w:p>
    <w:p>
      <w:pPr>
        <w:pStyle w:val="FirstParagraph"/>
      </w:pPr>
      <w:r>
        <w:t xml:space="preserve">The question of whether microfinance builds household resilience in rural South Asia has generated a substantial body of scholarship over the past two decades. Researchers have approached resilience from multiple angles--some focusing on income stability, others on women’s decision-making power, and still others on the capacity to withstand health or economic shocks. The goal is to identify what is known, where the evidence converges or diverges, and which gaps remain for future investigation.</w:t>
      </w:r>
    </w:p>
    <w:bookmarkStart w:id="18" w:name="Xc98f88b878e8e92cdde144e38ca1f5f5e7e5073"/>
    <w:p>
      <w:pPr>
        <w:pStyle w:val="Heading3"/>
      </w:pPr>
      <w:r>
        <w:t xml:space="preserve">2.1.1 Defining and Measuring Resilience in Microfinance Contexts</w:t>
      </w:r>
    </w:p>
    <w:p>
      <w:pPr>
        <w:pStyle w:val="FirstParagraph"/>
      </w:pPr>
      <w:r>
        <w:t xml:space="preserve">Resilience, in the development literature, is not a single, settled concept. Some researchers define it as the ability to maintain consumption levels in the face of income shocks (Mukherjee &amp; Das, 2018). Others treat it as the capacity to accumulate assets that buffer against future crises (Pica-Ciamarra et al., 2019). Still others operationalize resilience through composite indices that include food security, housing quality, and access to social networks (Ansar et al., 2023). This definitional plurality creates challenges for synthesizing evidence, because a finding that “microfinance improves resilience” may mean something quite different depending on which metric the study uses.</w:t>
      </w:r>
    </w:p>
    <w:bookmarkStart w:id="16" w:name="Xddc9d1f02d81ee3c5223f69dcfa784f662ac3c3"/>
    <w:p>
      <w:pPr>
        <w:pStyle w:val="Heading4"/>
      </w:pPr>
      <w:r>
        <w:t xml:space="preserve">2.1.1.1 Financial Resilience and Asset-Based Approaches</w:t>
      </w:r>
    </w:p>
    <w:p>
      <w:pPr>
        <w:pStyle w:val="FirstParagraph"/>
      </w:pPr>
      <w:r>
        <w:t xml:space="preserve">One prominent strand of the literature treats asset accumulation as a proxy for resilience. The logic is straightforward: households that own productive assets--livestock, land, equipment, or savings--can liquidate or borrow against those assets when a crisis hits. Pica-Ciamarra and colleagues (Pica-Ciamarra et al., 2019) indicate, using cross-country household survey data, that livestock ownership is positively associated with rural household income and that livestock serves as a buffer against consumption shortfalls. This finding matters for microfinance because many microenterprise loans are intended to finance exactly such productive assets.</w:t>
      </w:r>
    </w:p>
    <w:p>
      <w:pPr>
        <w:pStyle w:val="BodyText"/>
      </w:pPr>
      <w:r>
        <w:t xml:space="preserve">A second strand focuses on financial structure itself. Singkhala’s (SINGKHALA, 2025) common size analysis of Sharia-compliant microfinance institutions in Indonesia shows that financially resilient institutions tend to maintain strong liquidity buffers, diversify revenue sources, and improve operational cost efficiency. While this study examines institutional resilience rather than household resilience, its methodological approach--analyzing financial ratios to assess adaptive capacity--offers a template for household-level financial resilience measurement.</w:t>
      </w:r>
    </w:p>
    <w:bookmarkEnd w:id="16"/>
    <w:bookmarkStart w:id="17" w:name="Xfa7db819244729f23335cf3b2a5ee9d3d6381f8"/>
    <w:p>
      <w:pPr>
        <w:pStyle w:val="Heading4"/>
      </w:pPr>
      <w:r>
        <w:t xml:space="preserve">2.1.1.2 Consumption Smoothing as a Resilience Indicator</w:t>
      </w:r>
    </w:p>
    <w:p>
      <w:pPr>
        <w:pStyle w:val="FirstParagraph"/>
      </w:pPr>
      <w:r>
        <w:t xml:space="preserve">An alternative approach measures resilience through consumption patterns rather than asset holdings. Mukherjee and Das (2018) argue that microfinance’s primary contribution to resilience is enabling households to smooth consumption across time. Credit-constrained households, they note, cannot invest in productive activities because they must allocate all resources to immediate consumption. By relaxing that constraint, microfinance theoretically allows households to both meet current needs and invest for the future. The empirical challenge, however, is separating genuine consumption smoothing from debt-fueled consumption that merely postpones a crisis.</w:t>
      </w:r>
    </w:p>
    <w:p>
      <w:pPr>
        <w:pStyle w:val="BodyText"/>
      </w:pPr>
      <w:r>
        <w:rPr>
          <w:b/>
          <w:bCs/>
        </w:rPr>
        <w:t xml:space="preserve">The measurement problem is substantial.</w:t>
      </w:r>
      <w:r>
        <w:t xml:space="preserve"> </w:t>
      </w:r>
      <w:r>
        <w:t xml:space="preserve">Without longitudinal data tracking both income and consumption, it is difficult to determine whether a household is genuinely more resilient or simply more indebted. This tension runs through much of the literature reviewed below.</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2730"/>
        <w:gridCol w:w="2589"/>
        <w:gridCol w:w="2731"/>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Resilience Dimension</w:t>
            </w:r>
          </w:p>
        </w:tc>
        <w:tc>
          <w:tcPr>
            <w:tcW w:w="273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Definition</w:t>
            </w:r>
          </w:p>
        </w:tc>
        <w:tc>
          <w:tcPr>
            <w:tcW w:w="258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Common Measurement Approach</w:t>
            </w:r>
          </w:p>
        </w:tc>
        <w:tc>
          <w:tcPr>
            <w:tcW w:w="273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Limitation</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Asset-based</w:t>
            </w:r>
          </w:p>
        </w:tc>
        <w:tc>
          <w:tcPr>
            <w:tcW w:w="2730" w:type="dxa"/>
          </w:tcPr>
          <w:p>
            <w:pPr>
              <w:pStyle w:val="Compact"/>
              <w:keepLines/>
              <w:spacing w:line="240" w:lineRule="auto" w:before="0" w:after="60"/>
              <w:ind w:firstLine="0" w:left="0" w:right="0"/>
              <w:jc w:val="left"/>
            </w:pPr>
            <w:r>
              <w:rPr>
                <w:rFonts w:ascii="Times New Roman" w:hAnsi="Times New Roman"/>
                <w:sz w:val="19"/>
              </w:rPr>
              <w:t xml:space="preserve">Capacity to absorb shocks via productive assets</w:t>
            </w:r>
          </w:p>
        </w:tc>
        <w:tc>
          <w:tcPr>
            <w:tcW w:w="2589" w:type="dxa"/>
          </w:tcPr>
          <w:p>
            <w:pPr>
              <w:pStyle w:val="Compact"/>
              <w:keepLines/>
              <w:spacing w:line="240" w:lineRule="auto" w:before="0" w:after="60"/>
              <w:ind w:firstLine="0" w:left="0" w:right="0"/>
              <w:jc w:val="left"/>
            </w:pPr>
            <w:r>
              <w:rPr>
                <w:rFonts w:ascii="Times New Roman" w:hAnsi="Times New Roman"/>
                <w:sz w:val="19"/>
              </w:rPr>
              <w:t xml:space="preserve">Livestock count, land ownership, savings balance</w:t>
            </w:r>
          </w:p>
        </w:tc>
        <w:tc>
          <w:tcPr>
            <w:tcW w:w="2731" w:type="dxa"/>
          </w:tcPr>
          <w:p>
            <w:pPr>
              <w:pStyle w:val="Compact"/>
              <w:keepLines/>
              <w:spacing w:line="240" w:lineRule="auto" w:before="0" w:after="60"/>
              <w:ind w:firstLine="0" w:left="0" w:right="0"/>
              <w:jc w:val="left"/>
            </w:pPr>
            <w:r>
              <w:rPr>
                <w:rFonts w:ascii="Times New Roman" w:hAnsi="Times New Roman"/>
                <w:sz w:val="19"/>
              </w:rPr>
              <w:t xml:space="preserve">Ignores liquidity constraints; assets may be indivisible</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Consumption-smoothing</w:t>
            </w:r>
          </w:p>
        </w:tc>
        <w:tc>
          <w:tcPr>
            <w:tcW w:w="2730" w:type="dxa"/>
          </w:tcPr>
          <w:p>
            <w:pPr>
              <w:pStyle w:val="Compact"/>
              <w:keepLines/>
              <w:spacing w:line="240" w:lineRule="auto" w:before="0" w:after="60"/>
              <w:ind w:firstLine="0" w:left="0" w:right="0"/>
              <w:jc w:val="left"/>
            </w:pPr>
            <w:r>
              <w:rPr>
                <w:rFonts w:ascii="Times New Roman" w:hAnsi="Times New Roman"/>
                <w:sz w:val="19"/>
              </w:rPr>
              <w:t xml:space="preserve">Maintaining consumption despite income fluctuations</w:t>
            </w:r>
          </w:p>
        </w:tc>
        <w:tc>
          <w:tcPr>
            <w:tcW w:w="2589" w:type="dxa"/>
          </w:tcPr>
          <w:p>
            <w:pPr>
              <w:pStyle w:val="Compact"/>
              <w:keepLines/>
              <w:spacing w:line="240" w:lineRule="auto" w:before="0" w:after="60"/>
              <w:ind w:firstLine="0" w:left="0" w:right="0"/>
              <w:jc w:val="left"/>
            </w:pPr>
            <w:r>
              <w:rPr>
                <w:rFonts w:ascii="Times New Roman" w:hAnsi="Times New Roman"/>
                <w:sz w:val="19"/>
              </w:rPr>
              <w:t xml:space="preserve">Repeated expenditure surveys</w:t>
            </w:r>
          </w:p>
        </w:tc>
        <w:tc>
          <w:tcPr>
            <w:tcW w:w="2731" w:type="dxa"/>
          </w:tcPr>
          <w:p>
            <w:pPr>
              <w:pStyle w:val="Compact"/>
              <w:keepLines/>
              <w:spacing w:line="240" w:lineRule="auto" w:before="0" w:after="60"/>
              <w:ind w:firstLine="0" w:left="0" w:right="0"/>
              <w:jc w:val="left"/>
            </w:pPr>
            <w:r>
              <w:rPr>
                <w:rFonts w:ascii="Times New Roman" w:hAnsi="Times New Roman"/>
                <w:sz w:val="19"/>
              </w:rPr>
              <w:t xml:space="preserve">Requires panel data; often unavailable</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Income stability</w:t>
            </w:r>
          </w:p>
        </w:tc>
        <w:tc>
          <w:tcPr>
            <w:tcW w:w="2730" w:type="dxa"/>
          </w:tcPr>
          <w:p>
            <w:pPr>
              <w:pStyle w:val="Compact"/>
              <w:keepLines/>
              <w:spacing w:line="240" w:lineRule="auto" w:before="0" w:after="60"/>
              <w:ind w:firstLine="0" w:left="0" w:right="0"/>
              <w:jc w:val="left"/>
            </w:pPr>
            <w:r>
              <w:rPr>
                <w:rFonts w:ascii="Times New Roman" w:hAnsi="Times New Roman"/>
                <w:sz w:val="19"/>
              </w:rPr>
              <w:t xml:space="preserve">Reduced variance in household earnings</w:t>
            </w:r>
          </w:p>
        </w:tc>
        <w:tc>
          <w:tcPr>
            <w:tcW w:w="2589" w:type="dxa"/>
          </w:tcPr>
          <w:p>
            <w:pPr>
              <w:pStyle w:val="Compact"/>
              <w:keepLines/>
              <w:spacing w:line="240" w:lineRule="auto" w:before="0" w:after="60"/>
              <w:ind w:firstLine="0" w:left="0" w:right="0"/>
              <w:jc w:val="left"/>
            </w:pPr>
            <w:r>
              <w:rPr>
                <w:rFonts w:ascii="Times New Roman" w:hAnsi="Times New Roman"/>
                <w:sz w:val="19"/>
              </w:rPr>
              <w:t xml:space="preserve">Income tracking over multiple periods</w:t>
            </w:r>
          </w:p>
        </w:tc>
        <w:tc>
          <w:tcPr>
            <w:tcW w:w="2731" w:type="dxa"/>
          </w:tcPr>
          <w:p>
            <w:pPr>
              <w:pStyle w:val="Compact"/>
              <w:keepLines/>
              <w:spacing w:line="240" w:lineRule="auto" w:before="0" w:after="60"/>
              <w:ind w:firstLine="0" w:left="0" w:right="0"/>
              <w:jc w:val="left"/>
            </w:pPr>
            <w:r>
              <w:rPr>
                <w:rFonts w:ascii="Times New Roman" w:hAnsi="Times New Roman"/>
                <w:sz w:val="19"/>
              </w:rPr>
              <w:t xml:space="preserve">Captures income, not welfare</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Institutional resilience</w:t>
            </w:r>
          </w:p>
        </w:tc>
        <w:tc>
          <w:tcPr>
            <w:tcW w:w="2730" w:type="dxa"/>
          </w:tcPr>
          <w:p>
            <w:pPr>
              <w:pStyle w:val="Compact"/>
              <w:keepLines/>
              <w:spacing w:line="240" w:lineRule="auto" w:before="0" w:after="60"/>
              <w:ind w:firstLine="0" w:left="0" w:right="0"/>
              <w:jc w:val="left"/>
            </w:pPr>
            <w:r>
              <w:rPr>
                <w:rFonts w:ascii="Times New Roman" w:hAnsi="Times New Roman"/>
                <w:sz w:val="19"/>
              </w:rPr>
              <w:t xml:space="preserve">MFI’s ability to maintain operations under stress</w:t>
            </w:r>
          </w:p>
        </w:tc>
        <w:tc>
          <w:tcPr>
            <w:tcW w:w="2589" w:type="dxa"/>
          </w:tcPr>
          <w:p>
            <w:pPr>
              <w:pStyle w:val="Compact"/>
              <w:keepLines/>
              <w:spacing w:line="240" w:lineRule="auto" w:before="0" w:after="60"/>
              <w:ind w:firstLine="0" w:left="0" w:right="0"/>
              <w:jc w:val="left"/>
            </w:pPr>
            <w:r>
              <w:rPr>
                <w:rFonts w:ascii="Times New Roman" w:hAnsi="Times New Roman"/>
                <w:sz w:val="19"/>
              </w:rPr>
              <w:t xml:space="preserve">Liquidity ratios, cost efficiency metrics</w:t>
            </w:r>
          </w:p>
        </w:tc>
        <w:tc>
          <w:tcPr>
            <w:tcW w:w="2731" w:type="dxa"/>
          </w:tcPr>
          <w:p>
            <w:pPr>
              <w:pStyle w:val="Compact"/>
              <w:keepLines/>
              <w:spacing w:line="240" w:lineRule="auto" w:before="0" w:after="60"/>
              <w:ind w:firstLine="0" w:left="0" w:right="0"/>
              <w:jc w:val="left"/>
            </w:pPr>
            <w:r>
              <w:rPr>
                <w:rFonts w:ascii="Times New Roman" w:hAnsi="Times New Roman"/>
                <w:sz w:val="19"/>
              </w:rPr>
              <w:t xml:space="preserve">Does not measure household outcomes</w:t>
            </w:r>
          </w:p>
        </w:tc>
      </w:tr>
    </w:tbl>
    <w:p>
      <w:pPr>
        <w:pStyle w:val="BodyText"/>
      </w:pPr>
      <w:r>
        <w:rPr>
          <w:i/>
          <w:iCs/>
        </w:rPr>
        <w:t xml:space="preserve">Table 2: Key Approaches to Defining and Measuring Resilience in Microfinance Research</w:t>
      </w:r>
    </w:p>
    <w:p>
      <w:pPr>
        <w:pStyle w:val="BodyText"/>
      </w:pPr>
      <w:r>
        <w:t xml:space="preserve">The diversity of measurement approaches documented in Table 1 means that researchers must interpret “positive effects” with caution. A study that finds improved asset accumulation does not necessarily contradict one that finds unchanged consumption volatility; the two may be capturing different dimensions of the same phenomenon.</w:t>
      </w:r>
    </w:p>
    <w:bookmarkEnd w:id="17"/>
    <w:bookmarkEnd w:id="18"/>
    <w:bookmarkStart w:id="21" w:name="Xd0309242f5afa0a98a71a1c90a5261ed3deae41"/>
    <w:p>
      <w:pPr>
        <w:pStyle w:val="Heading3"/>
      </w:pPr>
      <w:r>
        <w:t xml:space="preserve">2.1.2 Income Smoothing as a Resilience Mechanism</w:t>
      </w:r>
    </w:p>
    <w:p>
      <w:pPr>
        <w:pStyle w:val="FirstParagraph"/>
      </w:pPr>
      <w:r>
        <w:t xml:space="preserve">Among the most commonly claimed benefits of microfinance is its capacity to smooth household income. The theoretical process is intuitive: a household that can borrow at reasonable terms can invest in a small enterprise, generating returns that supplement or replace volatile agricultural income. Over time, diversified income streams reduce the household’s risk factor to any single source of disruption.</w:t>
      </w:r>
    </w:p>
    <w:bookmarkStart w:id="19" w:name="empirical-evidence-on-income-effects"/>
    <w:p>
      <w:pPr>
        <w:pStyle w:val="Heading4"/>
      </w:pPr>
      <w:r>
        <w:t xml:space="preserve">2.1.2.1 Empirical Evidence on Income Effects</w:t>
      </w:r>
    </w:p>
    <w:p>
      <w:pPr>
        <w:pStyle w:val="FirstParagraph"/>
      </w:pPr>
      <w:r>
        <w:t xml:space="preserve">Cai, Park, and Wang (Cai et al., 2025) provide some of the strongest evidence on this pathway, drawing on a randomized controlled trial in the People’s Republic of China. Their study finds that access to microfinance meaningfully raises household incomes, with effects concentrated among households that were initially credit-constrained. This is a meaningful finding because randomized designs control for selection bias--a persistent problem in microfinance impact evaluation.</w:t>
      </w:r>
    </w:p>
    <w:p>
      <w:pPr>
        <w:pStyle w:val="BodyText"/>
      </w:pPr>
      <w:r>
        <w:t xml:space="preserve">However, the China context differs substantially from rural South Asia in at least three respects. First, China’s rural infrastructure is more developed, which may amplify the returns to microenterprise investment. Second, the institutional environment for microfinance in China differs from the group-lending models dominant in Bangladesh and India. Third, the baseline poverty levels and household structures in rural China are not directly comparable to those in, say, rural Bihar or rural Bangladesh.</w:t>
      </w:r>
    </w:p>
    <w:p>
      <w:pPr>
        <w:pStyle w:val="BodyText"/>
      </w:pPr>
      <w:r>
        <w:rPr>
          <w:b/>
          <w:bCs/>
        </w:rPr>
        <w:t xml:space="preserve">A more directly relevant study</w:t>
      </w:r>
      <w:r>
        <w:t xml:space="preserve"> </w:t>
      </w:r>
      <w:r>
        <w:t xml:space="preserve">comes from the Philippines, where Yap (2008) evaluates the Rural Microenterprise Finance Project, a program explicitly modeled on the Grameen Bank approach. Yap reports positive impacts on household income and enterprise performance, but also notes that the effects are heterogeneous--some households benefit substantially, while others show minimal change. This heterogeneity is a recurring theme in the literature and raises important questions about which households are best positioned to benefit from microfinance.</w:t>
      </w:r>
    </w:p>
    <w:bookmarkEnd w:id="19"/>
    <w:bookmarkStart w:id="20" w:name="the-investment-decision-channel"/>
    <w:p>
      <w:pPr>
        <w:pStyle w:val="Heading4"/>
      </w:pPr>
      <w:r>
        <w:t xml:space="preserve">2.1.2.2 The Investment Decision Channel</w:t>
      </w:r>
    </w:p>
    <w:p>
      <w:pPr>
        <w:pStyle w:val="FirstParagraph"/>
      </w:pPr>
      <w:r>
        <w:t xml:space="preserve">Mukherjee and Das (2018) shift the focus from income outcomes to investment behavior. Their analysis suggests that credit-constrained households, when given access to microfinance, shift from low-return, low-risk activities to higher-return, higher-risk investments. This is theoretically consistent with a model in which credit constraints force households into suboptimal portfolios. On the one hand, the shift toward higher-return activities should, on average, increase income. On the other hand, it also increases income variance, which could be problematic for households with limited capacity to absorb losses.</w:t>
      </w:r>
    </w:p>
    <w:p>
      <w:pPr>
        <w:pStyle w:val="BodyText"/>
      </w:pPr>
      <w:r>
        <w:t xml:space="preserve">Ghosh and Bhandari (2013) examine this driver specifically in the context of rural entrepreneurship in India. They find that microfinance supports the development of small enterprises, but that the returns depend critically on the entrepreneur’s existing skills, market access, and the availability of complementary inputs. Microfinance, in other words, is not a standalone solution--it works best when embedded in a broader system of support.</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205"/>
        <w:gridCol w:w="1310"/>
        <w:gridCol w:w="1310"/>
        <w:gridCol w:w="1954"/>
        <w:gridCol w:w="2581"/>
      </w:tblGrid>
      <w:tr>
        <w:trPr>
          <w:tblHeader w:val="on"/>
        </w:trPr>
        <w:tc>
          <w:tcPr>
            <w:tcW w:w="220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Study</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Location</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Design</w:t>
            </w:r>
          </w:p>
        </w:tc>
        <w:tc>
          <w:tcPr>
            <w:tcW w:w="195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Income Finding</w:t>
            </w:r>
          </w:p>
        </w:tc>
        <w:tc>
          <w:tcPr>
            <w:tcW w:w="258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Caveat</w:t>
            </w:r>
          </w:p>
        </w:tc>
      </w:tr>
      <w:tr>
        <w:tc>
          <w:tcPr>
            <w:tcW w:w="2205" w:type="dxa"/>
          </w:tcPr>
          <w:p>
            <w:pPr>
              <w:pStyle w:val="Compact"/>
              <w:keepLines/>
              <w:spacing w:line="240" w:lineRule="auto" w:before="0" w:after="60"/>
              <w:ind w:firstLine="0" w:left="0" w:right="0"/>
              <w:jc w:val="left"/>
            </w:pPr>
            <w:r>
              <w:rPr>
                <w:rFonts w:ascii="Times New Roman" w:hAnsi="Times New Roman"/>
                <w:sz w:val="17"/>
              </w:rPr>
              <w:t xml:space="preserve">Cai, Park, Wang (Cai et al., 2025)</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China</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RCT</w:t>
            </w:r>
          </w:p>
        </w:tc>
        <w:tc>
          <w:tcPr>
            <w:tcW w:w="1954" w:type="dxa"/>
          </w:tcPr>
          <w:p>
            <w:pPr>
              <w:pStyle w:val="Compact"/>
              <w:keepLines/>
              <w:spacing w:line="240" w:lineRule="auto" w:before="0" w:after="60"/>
              <w:ind w:firstLine="0" w:left="0" w:right="0"/>
              <w:jc w:val="left"/>
            </w:pPr>
            <w:r>
              <w:rPr>
                <w:rFonts w:ascii="Times New Roman" w:hAnsi="Times New Roman"/>
                <w:sz w:val="17"/>
              </w:rPr>
              <w:t xml:space="preserve">Significant income increase</w:t>
            </w:r>
          </w:p>
        </w:tc>
        <w:tc>
          <w:tcPr>
            <w:tcW w:w="2581" w:type="dxa"/>
          </w:tcPr>
          <w:p>
            <w:pPr>
              <w:pStyle w:val="Compact"/>
              <w:keepLines/>
              <w:spacing w:line="240" w:lineRule="auto" w:before="0" w:after="60"/>
              <w:ind w:firstLine="0" w:left="0" w:right="0"/>
              <w:jc w:val="left"/>
            </w:pPr>
            <w:r>
              <w:rPr>
                <w:rFonts w:ascii="Times New Roman" w:hAnsi="Times New Roman"/>
                <w:sz w:val="17"/>
              </w:rPr>
              <w:t xml:space="preserve">Different institutional context than South Asia</w:t>
            </w:r>
          </w:p>
        </w:tc>
      </w:tr>
      <w:tr>
        <w:tc>
          <w:tcPr>
            <w:tcW w:w="2205" w:type="dxa"/>
          </w:tcPr>
          <w:p>
            <w:pPr>
              <w:pStyle w:val="Compact"/>
              <w:keepLines/>
              <w:spacing w:line="240" w:lineRule="auto" w:before="0" w:after="60"/>
              <w:ind w:firstLine="0" w:left="0" w:right="0"/>
              <w:jc w:val="left"/>
            </w:pPr>
            <w:r>
              <w:rPr>
                <w:rFonts w:ascii="Times New Roman" w:hAnsi="Times New Roman"/>
                <w:sz w:val="17"/>
              </w:rPr>
              <w:t xml:space="preserve">Yap (2008)</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Philippines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Quasi-experimental</w:t>
            </w:r>
          </w:p>
        </w:tc>
        <w:tc>
          <w:tcPr>
            <w:tcW w:w="1954" w:type="dxa"/>
          </w:tcPr>
          <w:p>
            <w:pPr>
              <w:pStyle w:val="Compact"/>
              <w:keepLines/>
              <w:spacing w:line="240" w:lineRule="auto" w:before="0" w:after="60"/>
              <w:ind w:firstLine="0" w:left="0" w:right="0"/>
              <w:jc w:val="left"/>
            </w:pPr>
            <w:r>
              <w:rPr>
                <w:rFonts w:ascii="Times New Roman" w:hAnsi="Times New Roman"/>
                <w:sz w:val="17"/>
              </w:rPr>
              <w:t xml:space="preserve">Positive but heterogeneous</w:t>
            </w:r>
          </w:p>
        </w:tc>
        <w:tc>
          <w:tcPr>
            <w:tcW w:w="2581" w:type="dxa"/>
          </w:tcPr>
          <w:p>
            <w:pPr>
              <w:pStyle w:val="Compact"/>
              <w:keepLines/>
              <w:spacing w:line="240" w:lineRule="auto" w:before="0" w:after="60"/>
              <w:ind w:firstLine="0" w:left="0" w:right="0"/>
              <w:jc w:val="left"/>
            </w:pPr>
            <w:r>
              <w:rPr>
                <w:rFonts w:ascii="Times New Roman" w:hAnsi="Times New Roman"/>
                <w:sz w:val="17"/>
              </w:rPr>
              <w:t xml:space="preserve">Effects vary by household type</w:t>
            </w:r>
          </w:p>
        </w:tc>
      </w:tr>
      <w:tr>
        <w:tc>
          <w:tcPr>
            <w:tcW w:w="2205" w:type="dxa"/>
          </w:tcPr>
          <w:p>
            <w:pPr>
              <w:pStyle w:val="Compact"/>
              <w:keepLines/>
              <w:spacing w:line="240" w:lineRule="auto" w:before="0" w:after="60"/>
              <w:ind w:firstLine="0" w:left="0" w:right="0"/>
              <w:jc w:val="left"/>
            </w:pPr>
            <w:r>
              <w:rPr>
                <w:rFonts w:ascii="Times New Roman" w:hAnsi="Times New Roman"/>
                <w:sz w:val="17"/>
              </w:rPr>
              <w:t xml:space="preserve">Mukherjee &amp; Das (Mukherjee &amp; Das, 2018)</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India (conceptual)</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Literature-based</w:t>
            </w:r>
          </w:p>
        </w:tc>
        <w:tc>
          <w:tcPr>
            <w:tcW w:w="1954" w:type="dxa"/>
          </w:tcPr>
          <w:p>
            <w:pPr>
              <w:pStyle w:val="Compact"/>
              <w:keepLines/>
              <w:spacing w:line="240" w:lineRule="auto" w:before="0" w:after="60"/>
              <w:ind w:firstLine="0" w:left="0" w:right="0"/>
              <w:jc w:val="left"/>
            </w:pPr>
            <w:r>
              <w:rPr>
                <w:rFonts w:ascii="Times New Roman" w:hAnsi="Times New Roman"/>
                <w:sz w:val="17"/>
              </w:rPr>
              <w:t xml:space="preserve">Investment shift to higher returns</w:t>
            </w:r>
          </w:p>
        </w:tc>
        <w:tc>
          <w:tcPr>
            <w:tcW w:w="2581" w:type="dxa"/>
          </w:tcPr>
          <w:p>
            <w:pPr>
              <w:pStyle w:val="Compact"/>
              <w:keepLines/>
              <w:spacing w:line="240" w:lineRule="auto" w:before="0" w:after="60"/>
              <w:ind w:firstLine="0" w:left="0" w:right="0"/>
              <w:jc w:val="left"/>
            </w:pPr>
            <w:r>
              <w:rPr>
                <w:rFonts w:ascii="Times New Roman" w:hAnsi="Times New Roman"/>
                <w:sz w:val="17"/>
              </w:rPr>
              <w:t xml:space="preserve">Increased income variance possible</w:t>
            </w:r>
          </w:p>
        </w:tc>
      </w:tr>
      <w:tr>
        <w:tc>
          <w:tcPr>
            <w:tcW w:w="2205" w:type="dxa"/>
          </w:tcPr>
          <w:p>
            <w:pPr>
              <w:pStyle w:val="Compact"/>
              <w:keepLines/>
              <w:spacing w:line="240" w:lineRule="auto" w:before="0" w:after="60"/>
              <w:ind w:firstLine="0" w:left="0" w:right="0"/>
              <w:jc w:val="left"/>
            </w:pPr>
            <w:r>
              <w:rPr>
                <w:rFonts w:ascii="Times New Roman" w:hAnsi="Times New Roman"/>
                <w:sz w:val="17"/>
              </w:rPr>
              <w:t xml:space="preserve">Ghosh &amp; Bhandari (Ghosh &amp; Bhandari, 2013)</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India</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Empirical survey</w:t>
            </w:r>
          </w:p>
        </w:tc>
        <w:tc>
          <w:tcPr>
            <w:tcW w:w="1954" w:type="dxa"/>
          </w:tcPr>
          <w:p>
            <w:pPr>
              <w:pStyle w:val="Compact"/>
              <w:keepLines/>
              <w:spacing w:line="240" w:lineRule="auto" w:before="0" w:after="60"/>
              <w:ind w:firstLine="0" w:left="0" w:right="0"/>
              <w:jc w:val="left"/>
            </w:pPr>
            <w:r>
              <w:rPr>
                <w:rFonts w:ascii="Times New Roman" w:hAnsi="Times New Roman"/>
                <w:sz w:val="17"/>
              </w:rPr>
              <w:t xml:space="preserve">Supports rural entrepreneurship</w:t>
            </w:r>
          </w:p>
        </w:tc>
        <w:tc>
          <w:tcPr>
            <w:tcW w:w="2581" w:type="dxa"/>
          </w:tcPr>
          <w:p>
            <w:pPr>
              <w:pStyle w:val="Compact"/>
              <w:keepLines/>
              <w:spacing w:line="240" w:lineRule="auto" w:before="0" w:after="60"/>
              <w:ind w:firstLine="0" w:left="0" w:right="0"/>
              <w:jc w:val="left"/>
            </w:pPr>
            <w:r>
              <w:rPr>
                <w:rFonts w:ascii="Times New Roman" w:hAnsi="Times New Roman"/>
                <w:sz w:val="17"/>
              </w:rPr>
              <w:t xml:space="preserve">Depends on skills and market access</w:t>
            </w:r>
          </w:p>
        </w:tc>
      </w:tr>
    </w:tbl>
    <w:p>
      <w:pPr>
        <w:pStyle w:val="BodyText"/>
      </w:pPr>
      <w:r>
        <w:rPr>
          <w:i/>
          <w:iCs/>
        </w:rPr>
        <w:t xml:space="preserve">Table 3: Empirical Evidence on Microfinance and Household Income</w:t>
      </w:r>
    </w:p>
    <w:p>
      <w:pPr>
        <w:pStyle w:val="BodyText"/>
      </w:pPr>
      <w:r>
        <w:t xml:space="preserve">Table 2 summarizes the key studies reviewed here. A pattern emerges: positive income effects are frequently reported, but they are conditional on context, household characteristics, and the specific design of the microfinance intervention. Generalizing from any single study would be a mistake.</w:t>
      </w:r>
    </w:p>
    <w:bookmarkEnd w:id="20"/>
    <w:bookmarkEnd w:id="21"/>
    <w:bookmarkStart w:id="25" w:name="X62c88dd0b3fe7284c4b5fa829b5adcce63df2c9"/>
    <w:p>
      <w:pPr>
        <w:pStyle w:val="Heading3"/>
      </w:pPr>
      <w:r>
        <w:t xml:space="preserve">2.1.3 Women’s Empowerment and Household-Level Effects</w:t>
      </w:r>
    </w:p>
    <w:p>
      <w:pPr>
        <w:pStyle w:val="FirstParagraph"/>
      </w:pPr>
      <w:r>
        <w:t xml:space="preserve">A central claim in the microfinance literature is that targeting women borrowers produces both economic and social benefits. The rationale is threefold. First, women are disproportionately excluded from formal financial systems, so microfinance addresses an access gap. Second, women are thought to spend a higher share of household income on children’s health, nutrition, and education. Third, women’s economic participation is linked to broader empowerment outcomes, including decision-making power within the household.</w:t>
      </w:r>
    </w:p>
    <w:bookmarkStart w:id="22" w:name="empowerment-as-a-pathway-to-resilience"/>
    <w:p>
      <w:pPr>
        <w:pStyle w:val="Heading4"/>
      </w:pPr>
      <w:r>
        <w:t xml:space="preserve">2.1.3.1 Empowerment as a Pathway to Resilience</w:t>
      </w:r>
    </w:p>
    <w:p>
      <w:pPr>
        <w:pStyle w:val="FirstParagraph"/>
      </w:pPr>
      <w:r>
        <w:t xml:space="preserve">Murshid (2018) provides direct evidence on this pathway using data from Bangladesh. The study finds that microfinance participation is positively associated with women’s decision-making power in the household, particularly regarding major purchases and children’s schooling. Increased decision-making power, in turn, is linked to household-level outcomes such as improved child nutrition and greater investment in preventive health care. These are resilience-relevant outcomes because healthier, better-educated household members are more productive and better able to cope with shocks.</w:t>
      </w:r>
    </w:p>
    <w:p>
      <w:pPr>
        <w:pStyle w:val="BodyText"/>
      </w:pPr>
      <w:r>
        <w:t xml:space="preserve">Nawaz (2019) reaches broadly similar conclusions in a separate analysis of microfinance and women’s sociocultural empowerment in Bangladesh. The study documents improvements in women’s mobility, their participation in community affairs, and their ability to influence household decisions. However, Nawaz also cautions that empowerment effects are not automatic--they depend on program design, the duration of participation, and the presence of complementary interventions such as skills training.</w:t>
      </w:r>
    </w:p>
    <w:p>
      <w:pPr>
        <w:pStyle w:val="BodyText"/>
      </w:pPr>
      <w:r>
        <w:rPr>
          <w:b/>
          <w:bCs/>
        </w:rPr>
        <w:t xml:space="preserve">The empowerment-resilience link is plausible but not guaranteed.</w:t>
      </w:r>
      <w:r>
        <w:t xml:space="preserve"> </w:t>
      </w:r>
      <w:r>
        <w:t xml:space="preserve">Increased decision-making power does not necessarily translate into improved shock-coping capacity if the household’s overall resource base remains limited. A woman who has greater say in how a small and unstable income is allocated may still be unable to prevent a sharp consumption drop when a crisis hits.</w:t>
      </w:r>
    </w:p>
    <w:bookmarkEnd w:id="22"/>
    <w:bookmarkStart w:id="23" w:name="Xc7a6996022dc9e5df4f2e75c0c8f3a0bade8f49"/>
    <w:p>
      <w:pPr>
        <w:pStyle w:val="Heading4"/>
      </w:pPr>
      <w:r>
        <w:t xml:space="preserve">2.1.3.2 Contradictory Evidence and Unintended Consequences</w:t>
      </w:r>
    </w:p>
    <w:p>
      <w:pPr>
        <w:pStyle w:val="FirstParagraph"/>
      </w:pPr>
      <w:r>
        <w:t xml:space="preserve">Not all evidence points in the same direction. Aktaruzzaman and Guha-Khasnobis (2012), using a regression discontinuity design, find that microfinance participation is associated with an increased risk of domestic violence in some contexts. This finding complicates the simple narrative that microfinance uniformly empowers women. One possible dynamic is that increased economic stress from loan repayment obligations, combined with shifts in household gender dynamics, triggers conflict.</w:t>
      </w:r>
    </w:p>
    <w:p>
      <w:pPr>
        <w:pStyle w:val="BodyText"/>
      </w:pPr>
      <w:r>
        <w:t xml:space="preserve">The relationship between microfinance and women’s health is equally complex. Collier and colleagues (Collier et al., 2012), studying women in Jimma, Ethiopia, find that while microfinance participation is associated with some positive health behaviors, the effects are inconsistent across different health outcomes. Participation does not uniformly improve women’s health; in some cases, the added stress of managing a loan may offset the benefits of increased income.</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441"/>
        <w:gridCol w:w="3018"/>
        <w:gridCol w:w="3018"/>
        <w:gridCol w:w="1881"/>
      </w:tblGrid>
      <w:tr>
        <w:trPr>
          <w:tblHeader w:val="on"/>
        </w:trPr>
        <w:tc>
          <w:tcPr>
            <w:tcW w:w="144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Outcome</w:t>
            </w:r>
          </w:p>
        </w:tc>
        <w:tc>
          <w:tcPr>
            <w:tcW w:w="301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Positive Evidence</w:t>
            </w:r>
          </w:p>
        </w:tc>
        <w:tc>
          <w:tcPr>
            <w:tcW w:w="301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Contradictory Evidence</w:t>
            </w:r>
          </w:p>
        </w:tc>
        <w:tc>
          <w:tcPr>
            <w:tcW w:w="188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Key Mediating Factor</w:t>
            </w:r>
          </w:p>
        </w:tc>
      </w:tr>
      <w:tr>
        <w:tc>
          <w:tcPr>
            <w:tcW w:w="1441" w:type="dxa"/>
          </w:tcPr>
          <w:p>
            <w:pPr>
              <w:pStyle w:val="Compact"/>
              <w:keepLines/>
              <w:spacing w:line="240" w:lineRule="auto" w:before="0" w:after="60"/>
              <w:ind w:firstLine="0" w:left="0" w:right="0"/>
              <w:jc w:val="left"/>
            </w:pPr>
            <w:r>
              <w:rPr>
                <w:rFonts w:ascii="Times New Roman" w:hAnsi="Times New Roman"/>
                <w:sz w:val="19"/>
              </w:rPr>
              <w:t xml:space="preserve">Decision-making power</w:t>
            </w:r>
          </w:p>
        </w:tc>
        <w:tc>
          <w:tcPr>
            <w:tcW w:w="3018" w:type="dxa"/>
          </w:tcPr>
          <w:p>
            <w:pPr>
              <w:pStyle w:val="Compact"/>
              <w:keepLines/>
              <w:spacing w:line="240" w:lineRule="auto" w:before="0" w:after="60"/>
              <w:ind w:firstLine="0" w:left="0" w:right="0"/>
              <w:jc w:val="left"/>
            </w:pPr>
            <w:r>
              <w:rPr>
                <w:rFonts w:ascii="Times New Roman" w:hAnsi="Times New Roman"/>
                <w:sz w:val="19"/>
              </w:rPr>
              <w:t xml:space="preserve">Murshid (2018): Bangladesh, positive association</w:t>
            </w:r>
          </w:p>
        </w:tc>
        <w:tc>
          <w:tcPr>
            <w:tcW w:w="3018" w:type="dxa"/>
          </w:tcPr>
          <w:p>
            <w:pPr>
              <w:pStyle w:val="Compact"/>
              <w:keepLines/>
              <w:spacing w:line="240" w:lineRule="auto" w:before="0" w:after="60"/>
              <w:ind w:firstLine="0" w:left="0" w:right="0"/>
              <w:jc w:val="left"/>
            </w:pPr>
            <w:r>
              <w:rPr>
                <w:rFonts w:ascii="Times New Roman" w:hAnsi="Times New Roman"/>
                <w:sz w:val="19"/>
              </w:rPr>
              <w:t xml:space="preserve">-</w:t>
            </w:r>
          </w:p>
        </w:tc>
        <w:tc>
          <w:tcPr>
            <w:tcW w:w="1881" w:type="dxa"/>
          </w:tcPr>
          <w:p>
            <w:pPr>
              <w:pStyle w:val="Compact"/>
              <w:keepLines/>
              <w:spacing w:line="240" w:lineRule="auto" w:before="0" w:after="60"/>
              <w:ind w:firstLine="0" w:left="0" w:right="0"/>
              <w:jc w:val="left"/>
            </w:pPr>
            <w:r>
              <w:rPr>
                <w:rFonts w:ascii="Times New Roman" w:hAnsi="Times New Roman"/>
                <w:sz w:val="19"/>
              </w:rPr>
              <w:t xml:space="preserve">Duration of program participation</w:t>
            </w:r>
          </w:p>
        </w:tc>
      </w:tr>
      <w:tr>
        <w:tc>
          <w:tcPr>
            <w:tcW w:w="1441" w:type="dxa"/>
          </w:tcPr>
          <w:p>
            <w:pPr>
              <w:pStyle w:val="Compact"/>
              <w:keepLines/>
              <w:spacing w:line="240" w:lineRule="auto" w:before="0" w:after="60"/>
              <w:ind w:firstLine="0" w:left="0" w:right="0"/>
              <w:jc w:val="left"/>
            </w:pPr>
            <w:r>
              <w:rPr>
                <w:rFonts w:ascii="Times New Roman" w:hAnsi="Times New Roman"/>
                <w:sz w:val="19"/>
              </w:rPr>
              <w:t xml:space="preserve">Domestic violence</w:t>
            </w:r>
          </w:p>
        </w:tc>
        <w:tc>
          <w:tcPr>
            <w:tcW w:w="3018" w:type="dxa"/>
          </w:tcPr>
          <w:p>
            <w:pPr>
              <w:pStyle w:val="Compact"/>
              <w:keepLines/>
              <w:spacing w:line="240" w:lineRule="auto" w:before="0" w:after="60"/>
              <w:ind w:firstLine="0" w:left="0" w:right="0"/>
              <w:jc w:val="left"/>
            </w:pPr>
            <w:r>
              <w:rPr>
                <w:rFonts w:ascii="Times New Roman" w:hAnsi="Times New Roman"/>
                <w:sz w:val="19"/>
              </w:rPr>
              <w:t xml:space="preserve">-</w:t>
            </w:r>
          </w:p>
        </w:tc>
        <w:tc>
          <w:tcPr>
            <w:tcW w:w="3018" w:type="dxa"/>
          </w:tcPr>
          <w:p>
            <w:pPr>
              <w:pStyle w:val="Compact"/>
              <w:keepLines/>
              <w:spacing w:line="240" w:lineRule="auto" w:before="0" w:after="60"/>
              <w:ind w:firstLine="0" w:left="0" w:right="0"/>
              <w:jc w:val="left"/>
            </w:pPr>
            <w:r>
              <w:rPr>
                <w:rFonts w:ascii="Times New Roman" w:hAnsi="Times New Roman"/>
                <w:sz w:val="19"/>
              </w:rPr>
              <w:t xml:space="preserve">Aktaruzzaman &amp; Guha-Khasnobis (Aktaruzzaman &amp; Guha-Khasnobis, 2012): increased risk</w:t>
            </w:r>
          </w:p>
        </w:tc>
        <w:tc>
          <w:tcPr>
            <w:tcW w:w="1881" w:type="dxa"/>
          </w:tcPr>
          <w:p>
            <w:pPr>
              <w:pStyle w:val="Compact"/>
              <w:keepLines/>
              <w:spacing w:line="240" w:lineRule="auto" w:before="0" w:after="60"/>
              <w:ind w:firstLine="0" w:left="0" w:right="0"/>
              <w:jc w:val="left"/>
            </w:pPr>
            <w:r>
              <w:rPr>
                <w:rFonts w:ascii="Times New Roman" w:hAnsi="Times New Roman"/>
                <w:sz w:val="19"/>
              </w:rPr>
              <w:t xml:space="preserve">Loan repayment stress</w:t>
            </w:r>
          </w:p>
        </w:tc>
      </w:tr>
      <w:tr>
        <w:tc>
          <w:tcPr>
            <w:tcW w:w="1441" w:type="dxa"/>
          </w:tcPr>
          <w:p>
            <w:pPr>
              <w:pStyle w:val="Compact"/>
              <w:keepLines/>
              <w:spacing w:line="240" w:lineRule="auto" w:before="0" w:after="60"/>
              <w:ind w:firstLine="0" w:left="0" w:right="0"/>
              <w:jc w:val="left"/>
            </w:pPr>
            <w:r>
              <w:rPr>
                <w:rFonts w:ascii="Times New Roman" w:hAnsi="Times New Roman"/>
                <w:sz w:val="19"/>
              </w:rPr>
              <w:t xml:space="preserve">Health behaviors</w:t>
            </w:r>
          </w:p>
        </w:tc>
        <w:tc>
          <w:tcPr>
            <w:tcW w:w="3018" w:type="dxa"/>
          </w:tcPr>
          <w:p>
            <w:pPr>
              <w:pStyle w:val="Compact"/>
              <w:keepLines/>
              <w:spacing w:line="240" w:lineRule="auto" w:before="0" w:after="60"/>
              <w:ind w:firstLine="0" w:left="0" w:right="0"/>
              <w:jc w:val="left"/>
            </w:pPr>
            <w:r>
              <w:rPr>
                <w:rFonts w:ascii="Times New Roman" w:hAnsi="Times New Roman"/>
                <w:sz w:val="19"/>
              </w:rPr>
              <w:t xml:space="preserve">Collier et al. (Collier et al., 2012): some positive effects</w:t>
            </w:r>
          </w:p>
        </w:tc>
        <w:tc>
          <w:tcPr>
            <w:tcW w:w="3018" w:type="dxa"/>
          </w:tcPr>
          <w:p>
            <w:pPr>
              <w:pStyle w:val="Compact"/>
              <w:keepLines/>
              <w:spacing w:line="240" w:lineRule="auto" w:before="0" w:after="60"/>
              <w:ind w:firstLine="0" w:left="0" w:right="0"/>
              <w:jc w:val="left"/>
            </w:pPr>
            <w:r>
              <w:rPr>
                <w:rFonts w:ascii="Times New Roman" w:hAnsi="Times New Roman"/>
                <w:sz w:val="19"/>
              </w:rPr>
              <w:t xml:space="preserve">Collier et al. (Collier et al., 2012): inconsistent across outcomes</w:t>
            </w:r>
          </w:p>
        </w:tc>
        <w:tc>
          <w:tcPr>
            <w:tcW w:w="1881" w:type="dxa"/>
          </w:tcPr>
          <w:p>
            <w:pPr>
              <w:pStyle w:val="Compact"/>
              <w:keepLines/>
              <w:spacing w:line="240" w:lineRule="auto" w:before="0" w:after="60"/>
              <w:ind w:firstLine="0" w:left="0" w:right="0"/>
              <w:jc w:val="left"/>
            </w:pPr>
            <w:r>
              <w:rPr>
                <w:rFonts w:ascii="Times New Roman" w:hAnsi="Times New Roman"/>
                <w:sz w:val="19"/>
              </w:rPr>
              <w:t xml:space="preserve">Program design</w:t>
            </w:r>
          </w:p>
        </w:tc>
      </w:tr>
      <w:tr>
        <w:tc>
          <w:tcPr>
            <w:tcW w:w="1441" w:type="dxa"/>
          </w:tcPr>
          <w:p>
            <w:pPr>
              <w:pStyle w:val="Compact"/>
              <w:keepLines/>
              <w:spacing w:line="240" w:lineRule="auto" w:before="0" w:after="60"/>
              <w:ind w:firstLine="0" w:left="0" w:right="0"/>
              <w:jc w:val="left"/>
            </w:pPr>
            <w:r>
              <w:rPr>
                <w:rFonts w:ascii="Times New Roman" w:hAnsi="Times New Roman"/>
                <w:sz w:val="19"/>
              </w:rPr>
              <w:t xml:space="preserve">Sociocultural empowerment</w:t>
            </w:r>
          </w:p>
        </w:tc>
        <w:tc>
          <w:tcPr>
            <w:tcW w:w="3018" w:type="dxa"/>
          </w:tcPr>
          <w:p>
            <w:pPr>
              <w:pStyle w:val="Compact"/>
              <w:keepLines/>
              <w:spacing w:line="240" w:lineRule="auto" w:before="0" w:after="60"/>
              <w:ind w:firstLine="0" w:left="0" w:right="0"/>
              <w:jc w:val="left"/>
            </w:pPr>
            <w:r>
              <w:rPr>
                <w:rFonts w:ascii="Times New Roman" w:hAnsi="Times New Roman"/>
                <w:sz w:val="19"/>
              </w:rPr>
              <w:t xml:space="preserve">Nawaz (2019): improved mobility and influence</w:t>
            </w:r>
          </w:p>
        </w:tc>
        <w:tc>
          <w:tcPr>
            <w:tcW w:w="3018" w:type="dxa"/>
          </w:tcPr>
          <w:p>
            <w:pPr>
              <w:pStyle w:val="Compact"/>
              <w:keepLines/>
              <w:spacing w:line="240" w:lineRule="auto" w:before="0" w:after="60"/>
              <w:ind w:firstLine="0" w:left="0" w:right="0"/>
              <w:jc w:val="left"/>
            </w:pPr>
            <w:r>
              <w:rPr>
                <w:rFonts w:ascii="Times New Roman" w:hAnsi="Times New Roman"/>
                <w:sz w:val="19"/>
              </w:rPr>
              <w:t xml:space="preserve">-</w:t>
            </w:r>
          </w:p>
        </w:tc>
        <w:tc>
          <w:tcPr>
            <w:tcW w:w="1881" w:type="dxa"/>
          </w:tcPr>
          <w:p>
            <w:pPr>
              <w:pStyle w:val="Compact"/>
              <w:keepLines/>
              <w:spacing w:line="240" w:lineRule="auto" w:before="0" w:after="60"/>
              <w:ind w:firstLine="0" w:left="0" w:right="0"/>
              <w:jc w:val="left"/>
            </w:pPr>
            <w:r>
              <w:rPr>
                <w:rFonts w:ascii="Times New Roman" w:hAnsi="Times New Roman"/>
                <w:sz w:val="19"/>
              </w:rPr>
              <w:t xml:space="preserve">Complementary training</w:t>
            </w:r>
          </w:p>
        </w:tc>
      </w:tr>
    </w:tbl>
    <w:p>
      <w:pPr>
        <w:pStyle w:val="BodyText"/>
      </w:pPr>
      <w:r>
        <w:rPr>
          <w:i/>
          <w:iCs/>
        </w:rPr>
        <w:t xml:space="preserve">Table 4: Mixed Evidence on Microfinance and Women’s Empowerment</w:t>
      </w:r>
    </w:p>
    <w:p>
      <w:pPr>
        <w:pStyle w:val="BodyText"/>
      </w:pPr>
      <w:r>
        <w:t xml:space="preserve">Table 3 synthesizes the mixed evidence. The overall picture is one of conditional effects: microfinance can empower women under the right conditions, but it can also generate unintended negative consequences when program design or household circumstances are unfavorable. Recognizing this conditionality is essential for any balanced assessment of microfinance’s contribution to household resilience.</w:t>
      </w:r>
    </w:p>
    <w:bookmarkEnd w:id="23"/>
    <w:bookmarkStart w:id="24" w:name="Xdf668fab20626dd87c708f6cb325ccb5d5aae97"/>
    <w:p>
      <w:pPr>
        <w:pStyle w:val="Heading4"/>
      </w:pPr>
      <w:r>
        <w:t xml:space="preserve">2.1.3.3 Household-Level Effects Beyond the Individual Borrower</w:t>
      </w:r>
    </w:p>
    <w:p>
      <w:pPr>
        <w:pStyle w:val="FirstParagraph"/>
      </w:pPr>
      <w:r>
        <w:t xml:space="preserve">The impact of women’s microfinance participation extends beyond the individual borrower to the household as a whole. Mafukata (2022), studying rural women entrepreneurs in South Africa’s Vhembe District, finds that microfinance-based entrepreneurship creates self-employment opportunities that benefit not only the borrower but also other household members through income pooling and shared resource use. This finding echoes earlier work on the intra-household dynamics of microfinance, suggesting that the unit of analysis should be the household, not just the individual borrower.</w:t>
      </w:r>
    </w:p>
    <w:p>
      <w:pPr>
        <w:pStyle w:val="BodyText"/>
      </w:pPr>
      <w:r>
        <w:t xml:space="preserve">However, the distribution of benefits within the household is not always equitable. Women may control the loan but face pressure from male household members to direct the funds toward activities that do not align with their own priorities. The literature on intra-household bargaining suggests that loan use is a negotiated outcome, shaped by power dynamics that microfinance alone may not alter.</w:t>
      </w:r>
    </w:p>
    <w:bookmarkEnd w:id="24"/>
    <w:bookmarkEnd w:id="25"/>
    <w:bookmarkStart w:id="29" w:name="shock-coping-crisis-vs.-chronic-exposure"/>
    <w:p>
      <w:pPr>
        <w:pStyle w:val="Heading3"/>
      </w:pPr>
      <w:r>
        <w:t xml:space="preserve">2.1.4 Shock Coping: Crisis vs. Chronic Exposure</w:t>
      </w:r>
    </w:p>
    <w:p>
      <w:pPr>
        <w:pStyle w:val="FirstParagraph"/>
      </w:pPr>
      <w:r>
        <w:t xml:space="preserve">A critical distinction in the resilience literature is between coping with acute shocks--a medical emergency, a crop failure, a death in the family--and managing chronic sensitivity--persistent low income, food insecurity, and limited asset accumulation. Microfinance may play different roles in these two scenarios.</w:t>
      </w:r>
    </w:p>
    <w:bookmarkStart w:id="26" w:name="microfinance-as-a-shock-buffer"/>
    <w:p>
      <w:pPr>
        <w:pStyle w:val="Heading4"/>
      </w:pPr>
      <w:r>
        <w:t xml:space="preserve">2.1.4.1 Microfinance as a Shock Buffer</w:t>
      </w:r>
    </w:p>
    <w:p>
      <w:pPr>
        <w:pStyle w:val="FirstParagraph"/>
      </w:pPr>
      <w:r>
        <w:t xml:space="preserve">Adhikari, Adhikari, and Dhungana (ADHIKARI et al., 2026) provide direct evidence on the relationship between microinsurance adoption and financial resilience. Their study, focusing on household responses to income shocks in developing countries, finds that access to microinsurance--a financial product closely related to microfinance--considerably improves households’ ability to cope with shocks. Insured households are less likely to resort to distress sales of assets or to reduce consumption of essential goods when a crisis hits.</w:t>
      </w:r>
    </w:p>
    <w:p>
      <w:pPr>
        <w:pStyle w:val="BodyText"/>
      </w:pPr>
      <w:r>
        <w:t xml:space="preserve">The relevance of this finding to microfinance lies in the parallel mechanisms. If microinsurance helps households absorb shocks, then microfinance might do the same through a different channel: by providing a source of credit that households can draw on in an emergency. However, microfinance loans are typically disbursed on a fixed schedule and must be repaid regardless of whether the household experiences a shock. This rigidity can make microfinance a poor instrument for crisis response, a point explored further below.</w:t>
      </w:r>
    </w:p>
    <w:bookmarkEnd w:id="26"/>
    <w:bookmarkStart w:id="27" w:name="X13a8f986524d3077fef66358d51021192d3f1e6"/>
    <w:p>
      <w:pPr>
        <w:pStyle w:val="Heading4"/>
      </w:pPr>
      <w:r>
        <w:t xml:space="preserve">2.1.4.2 Credit as a Double-Edged Sword in Crisis Conditions</w:t>
      </w:r>
    </w:p>
    <w:p>
      <w:pPr>
        <w:pStyle w:val="FirstParagraph"/>
      </w:pPr>
      <w:r>
        <w:t xml:space="preserve">Moll (2007) offers a practitioner’s perspective on this tension, drawing on extensive experience with rural microfinance programs. The author argues that while microfinance can theoretically support shock coping, the repayment demands of standard microfinance contracts often undermine this function. A household that takes a loan to finance a productive investment and then experiences a negative shock may find itself unable to repay, leading to asset loss, social pressure from the lending group, or exclusion from future credit.</w:t>
      </w:r>
    </w:p>
    <w:p>
      <w:pPr>
        <w:pStyle w:val="BodyText"/>
      </w:pPr>
      <w:r>
        <w:t xml:space="preserve">This observation is consistent with the broader critique that microfinance may perform well in stable economic environments but poorly in crisis conditions. Goodspeed’s (Goodspeed, 2018) historical study of Irish microfinance during the Great Famine illustrates this dramatically: when a systemic shock hit, microfinance institutions themselves collapsed, leaving borrowers without support and, in many cases, deeper in debt.</w:t>
      </w:r>
    </w:p>
    <w:p>
      <w:pPr>
        <w:pStyle w:val="BodyText"/>
      </w:pPr>
      <w:r>
        <w:rPr>
          <w:b/>
          <w:bCs/>
        </w:rPr>
        <w:t xml:space="preserve">The pattern is clear.</w:t>
      </w:r>
      <w:r>
        <w:t xml:space="preserve"> </w:t>
      </w:r>
      <w:r>
        <w:t xml:space="preserve">Microfinance may help households cope with small, idiosyncratic shocks--a minor illness, a temporary income dip--but it is less well-suited to large, covariate shocks that affect entire communities simultaneously. In such situations, the financial resilience of the microfinance institution itself becomes the binding constraint (SINGKHALA, 2025).</w:t>
      </w:r>
    </w:p>
    <w:bookmarkEnd w:id="27"/>
    <w:bookmarkStart w:id="28" w:name="X7663fdf22859c573274ab165bad97a8037efc14"/>
    <w:p>
      <w:pPr>
        <w:pStyle w:val="Heading4"/>
      </w:pPr>
      <w:r>
        <w:t xml:space="preserve">2.1.4.3 Chronic Susceptibility and the Limits of Microfinance</w:t>
      </w:r>
    </w:p>
    <w:p>
      <w:pPr>
        <w:pStyle w:val="FirstParagraph"/>
      </w:pPr>
      <w:r>
        <w:t xml:space="preserve">For households living in chronic poverty, the challenge is not just coping with occasional shocks but escaping a condition of persistent risk factor. Toth (2020), examining Myanmar’s microfinance sector during the COVID-19 economic crisis, finds that the pandemic exposed deep structural limitations in the microfinance model. Borrowers who had been managing their loans under normal conditions found themselves unable to repay when economic activity ground to a halt. The crisis revealed that microfinance had been supporting a precarious equilibrium--one that collapsed under severe stress.</w:t>
      </w:r>
    </w:p>
    <w:p>
      <w:pPr>
        <w:pStyle w:val="BodyText"/>
      </w:pPr>
      <w:r>
        <w:t xml:space="preserve">This finding raises a sobering question: does microfinance genuinely build resilience, or does it merely sustain households at a level of precarious stability that is vulnerable to disruption? The distinction matters for policy. If microfinance primarily supports coping rather than transformation, then complementary interventions--social protection, insurance, asset transfers--may be necessary to achieve meaningful resilience gains.</w:t>
      </w:r>
    </w:p>
    <w:bookmarkEnd w:id="28"/>
    <w:bookmarkEnd w:id="29"/>
    <w:bookmarkStart w:id="33" w:name="repayment-pressure-as-a-mediating-factor"/>
    <w:p>
      <w:pPr>
        <w:pStyle w:val="Heading3"/>
      </w:pPr>
      <w:r>
        <w:t xml:space="preserve">2.1.5 Repayment Pressure as a Mediating Factor</w:t>
      </w:r>
    </w:p>
    <w:p>
      <w:pPr>
        <w:pStyle w:val="FirstParagraph"/>
      </w:pPr>
      <w:r>
        <w:t xml:space="preserve">One of the most underappreciated themes in the microfinance literature is the role of repayment discipline in shaping household outcomes. Standard microfinance contracts require frequent, fixed repayments starting almost immediately after loan disbursement. This structure creates a specific kind of financial pressure that may affect household decision-making in ways that are not always beneficial.</w:t>
      </w:r>
    </w:p>
    <w:bookmarkStart w:id="30" w:name="the-discipline-argument-and-its-critics"/>
    <w:p>
      <w:pPr>
        <w:pStyle w:val="Heading4"/>
      </w:pPr>
      <w:r>
        <w:t xml:space="preserve">2.1.5.1 The Discipline Argument and Its Critics</w:t>
      </w:r>
    </w:p>
    <w:p>
      <w:pPr>
        <w:pStyle w:val="FirstParagraph"/>
      </w:pPr>
      <w:r>
        <w:t xml:space="preserve">The original Grameen Bank model, which inspired much of South Asia’s microfinance sector, treats repayment discipline as a feature, not a bug. The argument is that poor households lack the self-control or the external pressure to save regularly; mandatory repayments impose a savings discipline that helps households accumulate capital over time. Empirical support for this view comes from studies showing that microfinance clients often save more and accumulate more assets than non-clients.</w:t>
      </w:r>
    </w:p>
    <w:p>
      <w:pPr>
        <w:pStyle w:val="BodyText"/>
      </w:pPr>
      <w:r>
        <w:t xml:space="preserve">However, critics point out that repayment pressure can also generate stress, reduce risk-taking, and force households into short-term survival strategies at the expense of long-term investment. A household that must make weekly repayments cannot easily invest in an enterprise with a three-month gestation period. The structure of repayment may thus bias investment toward low-return, quick-turnover activities that do not generate substantial income gains.</w:t>
      </w:r>
    </w:p>
    <w:bookmarkEnd w:id="30"/>
    <w:bookmarkStart w:id="31" w:name="repayment-pressure-and-exposure"/>
    <w:p>
      <w:pPr>
        <w:pStyle w:val="Heading4"/>
      </w:pPr>
      <w:r>
        <w:t xml:space="preserve">2.1.5.2 Repayment Pressure and Exposure</w:t>
      </w:r>
    </w:p>
    <w:p>
      <w:pPr>
        <w:pStyle w:val="FirstParagraph"/>
      </w:pPr>
      <w:r>
        <w:t xml:space="preserve">Rigol and Roth (2021) provide an interesting perspective on this issue, examining the role of loan officers in microfinance institutions. Their research suggests that loan officers, aware of the repayment pressure on borrowers, strategically disclose information to manage repayment outcomes. This finding highlights the human dimension of microfinance: the relationship between borrower and loan officer can either alleviate or amplify repayment pressure.</w:t>
      </w:r>
    </w:p>
    <w:p>
      <w:pPr>
        <w:pStyle w:val="BodyText"/>
      </w:pPr>
      <w:r>
        <w:t xml:space="preserve">The implications for resilience are direct. If repayment pressure forces households to prioritize loan repayment over other needs--including health care, nutrition, and asset maintenance--then microfinance may, paradoxically, reduce resilience even as it increases income. A household that skips a doctor’s visit to make a loan payment is trading short-term financial compliance for long-term human capital, a trade-off that may not be net beneficial.</w:t>
      </w:r>
    </w:p>
    <w:bookmarkEnd w:id="31"/>
    <w:bookmarkStart w:id="32" w:name="cross-cutting-effects-on-women-borrowers"/>
    <w:p>
      <w:pPr>
        <w:pStyle w:val="Heading4"/>
      </w:pPr>
      <w:r>
        <w:t xml:space="preserve">2.1.5.3 Cross-Cutting Effects on Women Borrowers</w:t>
      </w:r>
    </w:p>
    <w:p>
      <w:pPr>
        <w:pStyle w:val="FirstParagraph"/>
      </w:pPr>
      <w:r>
        <w:t xml:space="preserve">Repayment pressure may affect women borrowers disproportionately. As noted above, women in some contexts face increased risk of domestic violence when loan repayment becomes difficult (Aktaruzzaman &amp; Guha-Khasnobis, 2012). The social dynamics of group lending, in which all members are responsible for each other’s repayments, can create additional stress. A woman who cannot repay her loan may face not only financial consequences but also social exclusion and shame.</w:t>
      </w:r>
    </w:p>
    <w:p>
      <w:pPr>
        <w:pStyle w:val="BodyText"/>
      </w:pPr>
      <w:r>
        <w:t xml:space="preserve">The evidence on this point remains limited, because few studies explicitly measure the psychological and social costs of repayment pressure. Most impact evaluations focus on economic outcomes--income, consumption, asset accumulation--and do not capture the subjective experience of borrowing. This is a notable gap in the literature, and one that the present review highlights as an area for future research.</w:t>
      </w:r>
    </w:p>
    <w:bookmarkEnd w:id="32"/>
    <w:bookmarkEnd w:id="33"/>
    <w:bookmarkStart w:id="34" w:name="summary-and-gap-identification"/>
    <w:p>
      <w:pPr>
        <w:pStyle w:val="Heading3"/>
      </w:pPr>
      <w:r>
        <w:t xml:space="preserve">2.1.6 Summary and Gap Identification</w:t>
      </w:r>
    </w:p>
    <w:p>
      <w:pPr>
        <w:pStyle w:val="FirstParagraph"/>
      </w:pPr>
      <w:r>
        <w:t xml:space="preserve">The literature reviewed above paints a nuanced picture of microfinance’s impact on rural household resilience in South Asia. On the positive side, there is evidence that microfinance can raise household incomes, support women’s empowerment, and help households cope with modest shocks. On the negative side, the effects are conditional, heterogeneous, and sometimes contradictory. Repayment pressure, program design, household characteristics, and the broader economic context all mediate outcomes.</w:t>
      </w:r>
    </w:p>
    <w:p>
      <w:pPr>
        <w:pStyle w:val="BodyText"/>
      </w:pPr>
      <w:r>
        <w:t xml:space="preserve">Several specific gaps emerge from this review.</w:t>
      </w:r>
    </w:p>
    <w:p>
      <w:pPr>
        <w:pStyle w:val="BodyText"/>
      </w:pPr>
      <w:r>
        <w:rPr>
          <w:b/>
          <w:bCs/>
        </w:rPr>
        <w:t xml:space="preserve">First, there is a measurement gap.</w:t>
      </w:r>
      <w:r>
        <w:t xml:space="preserve"> </w:t>
      </w:r>
      <w:r>
        <w:t xml:space="preserve">The concept of resilience is operationalized in many different ways across studies, making it difficult to compare findings or to aggregate evidence. Future research would benefit from a standardized resilience framework that captures both the asset-based and consumption-smoothing dimensions of household well-being.</w:t>
      </w:r>
    </w:p>
    <w:p>
      <w:pPr>
        <w:pStyle w:val="BodyText"/>
      </w:pPr>
      <w:r>
        <w:rPr>
          <w:b/>
          <w:bCs/>
        </w:rPr>
        <w:t xml:space="preserve">Second, there is a contextual gap.</w:t>
      </w:r>
      <w:r>
        <w:t xml:space="preserve"> </w:t>
      </w:r>
      <w:r>
        <w:t xml:space="preserve">The majority of rigorous microfinance impact evaluations come from contexts outside South Asia--China, the Philippines, Ethiopia, and Latin America. While these studies provide valuable insights, their findings cannot be directly applied to the distinctive institutional, cultural, and economic conditions of South Asia. More region-specific research is needed.</w:t>
      </w:r>
    </w:p>
    <w:p>
      <w:pPr>
        <w:pStyle w:val="BodyText"/>
      </w:pPr>
      <w:r>
        <w:rPr>
          <w:b/>
          <w:bCs/>
        </w:rPr>
        <w:t xml:space="preserve">Third, there is a factor gap.</w:t>
      </w:r>
      <w:r>
        <w:t xml:space="preserve"> </w:t>
      </w:r>
      <w:r>
        <w:t xml:space="preserve">Most studies estimate average treatment effects without adequately exploring the mechanisms through which microfinance affects resilience. Does improved resilience come from income growth, from asset accumulation, from women’s empowerment, or from some combination of these? Understanding mechanisms is essential for designing more effective programs.</w:t>
      </w:r>
    </w:p>
    <w:p>
      <w:pPr>
        <w:pStyle w:val="BodyText"/>
      </w:pPr>
      <w:r>
        <w:rPr>
          <w:b/>
          <w:bCs/>
        </w:rPr>
        <w:t xml:space="preserve">Fourth, there is a negative-effects gap.</w:t>
      </w:r>
      <w:r>
        <w:t xml:space="preserve"> </w:t>
      </w:r>
      <w:r>
        <w:t xml:space="preserve">The literature is heavily tilted toward positive findings, with relatively few studies rigorously examining unintended consequences--increased debt stress, domestic violence, or reduced risk-taking. A balanced evidence base requires more attention to the potential downsides of microfinance.</w:t>
      </w:r>
    </w:p>
    <w:p>
      <w:pPr>
        <w:pStyle w:val="BodyText"/>
      </w:pPr>
      <w:r>
        <w:rPr>
          <w:b/>
          <w:bCs/>
        </w:rPr>
        <w:t xml:space="preserve">Fifth, there is a crisis-response gap.</w:t>
      </w:r>
      <w:r>
        <w:t xml:space="preserve"> </w:t>
      </w:r>
      <w:r>
        <w:t xml:space="preserve">The COVID-19 pandemic exposed the sensitivity of microfinance-dependent households to large-scale shocks (Toth, 2020). Yet relatively few studies have examined how microfinance performs under systemic crisis conditions in South Asia specifically. This is a pressing gap, given the region’s exposure to climate shocks, economic volatility, and public health emergencies.</w:t>
      </w:r>
    </w:p>
    <w:p>
      <w:pPr>
        <w:pStyle w:val="BodyText"/>
      </w:pPr>
      <w:r>
        <w:rPr>
          <w:b/>
          <w:bCs/>
        </w:rPr>
        <w:t xml:space="preserve">Sixth, there is a heterogeneity gap.</w:t>
      </w:r>
      <w:r>
        <w:t xml:space="preserve"> </w:t>
      </w:r>
      <w:r>
        <w:t xml:space="preserve">While several studies note that microfinance effects vary across households, few systematically explore the sources of this heterogeneity. Which households benefit most? Which are harmed? Answering these questions is essential for targeting microfinance interventions to those who can most benefit.</w:t>
      </w:r>
    </w:p>
    <w:p>
      <w:pPr>
        <w:pStyle w:val="BodyText"/>
      </w:pPr>
      <w:r>
        <w:t xml:space="preserve">The present thesis aims to address several of these gaps by synthesizing evidence from South Asian microfinance studies, with a focus on the mechanisms linking microfinance participation to household resilience outcomes. ## 2.2 Review Methodology</w:t>
      </w:r>
    </w:p>
    <w:p>
      <w:pPr>
        <w:pStyle w:val="BodyText"/>
      </w:pPr>
      <w:r>
        <w:t xml:space="preserve">This section describes the approach used to identify, select, and synthesise the literature underpinning the present thesis. Given the topic’s breadth--spanning microfinance mechanisms, household resilience, income smoothing, women’s empowerment, and shock coping in South Asia--a</w:t>
      </w:r>
      <w:r>
        <w:t xml:space="preserve"> </w:t>
      </w:r>
      <w:r>
        <w:rPr>
          <w:b/>
          <w:bCs/>
        </w:rPr>
        <w:t xml:space="preserve">narrative literature review</w:t>
      </w:r>
      <w:r>
        <w:t xml:space="preserve"> </w:t>
      </w:r>
      <w:r>
        <w:t xml:space="preserve">was adopted. This method is appropriate for mapping a heterogeneous body of evidence where controlled experimental designs are rare and contextual diversity is high. Unlike a systematic review bound by a single protocol, a narrative approach allows the reviewer to integrate findings from quantitative, qualitative, and mixed-methods studies, to identify cross-cutting themes, and to highlight gaps that can inform future empirical work. The process followed four stages: constructing a search strategy, defining inclusion and exclusion criteria, screening and selecting sources, and extracting and synthesising relevant data.</w:t>
      </w:r>
    </w:p>
    <w:bookmarkEnd w:id="34"/>
    <w:bookmarkStart w:id="35" w:name="search-strategy"/>
    <w:p>
      <w:pPr>
        <w:pStyle w:val="Heading3"/>
      </w:pPr>
      <w:r>
        <w:t xml:space="preserve">2.2.1 Search Strategy</w:t>
      </w:r>
    </w:p>
    <w:p>
      <w:pPr>
        <w:pStyle w:val="FirstParagraph"/>
      </w:pPr>
      <w:r>
        <w:t xml:space="preserve">The search strategy was designed to capture both the breadth of microfinance research in South Asia and the depth of evidence on resilience-related outcomes. Three bibliographic databases were consulted:</w:t>
      </w:r>
      <w:r>
        <w:t xml:space="preserve"> </w:t>
      </w:r>
      <w:r>
        <w:rPr>
          <w:b/>
          <w:bCs/>
        </w:rPr>
        <w:t xml:space="preserve">Semantic Scholar</w:t>
      </w:r>
      <w:r>
        <w:t xml:space="preserve">,</w:t>
      </w:r>
      <w:r>
        <w:t xml:space="preserve"> </w:t>
      </w:r>
      <w:r>
        <w:rPr>
          <w:b/>
          <w:bCs/>
        </w:rPr>
        <w:t xml:space="preserve">CrossRef</w:t>
      </w:r>
      <w:r>
        <w:t xml:space="preserve">, and</w:t>
      </w:r>
      <w:r>
        <w:t xml:space="preserve"> </w:t>
      </w:r>
      <w:r>
        <w:rPr>
          <w:b/>
          <w:bCs/>
        </w:rPr>
        <w:t xml:space="preserve">PubMed</w:t>
      </w:r>
      <w:r>
        <w:t xml:space="preserve"> </w:t>
      </w:r>
      <w:r>
        <w:t xml:space="preserve">(the latter for health-related resilience measures). These platforms were chosen for their coverage of development economics, social science, and public health literature. The search was conducted in two rounds: an initial broad sweep and a focused refinement.</w:t>
      </w:r>
    </w:p>
    <w:p>
      <w:pPr>
        <w:pStyle w:val="BodyText"/>
      </w:pPr>
      <w:r>
        <w:rPr>
          <w:b/>
          <w:bCs/>
        </w:rPr>
        <w:t xml:space="preserve">Broad sweep terms</w:t>
      </w:r>
      <w:r>
        <w:t xml:space="preserve"> </w:t>
      </w:r>
      <w:r>
        <w:t xml:space="preserve">combined microfinance keywords with resilience and region terms:</w:t>
      </w:r>
    </w:p>
    <w:p>
      <w:pPr>
        <w:pStyle w:val="Compact"/>
        <w:numPr>
          <w:ilvl w:val="0"/>
          <w:numId w:val="1002"/>
        </w:numPr>
      </w:pPr>
      <w:r>
        <w:t xml:space="preserve">“microfinance” AND (“resilience” OR “susceptibility” OR “shock”)</w:t>
      </w:r>
    </w:p>
    <w:p>
      <w:pPr>
        <w:pStyle w:val="Compact"/>
        <w:numPr>
          <w:ilvl w:val="0"/>
          <w:numId w:val="1002"/>
        </w:numPr>
      </w:pPr>
      <w:r>
        <w:t xml:space="preserve">“microcredit” AND (“income smoothing” OR “consumption smoothing”)</w:t>
      </w:r>
    </w:p>
    <w:p>
      <w:pPr>
        <w:pStyle w:val="Compact"/>
        <w:numPr>
          <w:ilvl w:val="0"/>
          <w:numId w:val="1002"/>
        </w:numPr>
      </w:pPr>
      <w:r>
        <w:t xml:space="preserve">“microfinance” AND “women’s empowerment” AND “South Asia”</w:t>
      </w:r>
    </w:p>
    <w:p>
      <w:pPr>
        <w:pStyle w:val="Compact"/>
        <w:numPr>
          <w:ilvl w:val="0"/>
          <w:numId w:val="1002"/>
        </w:numPr>
      </w:pPr>
      <w:r>
        <w:t xml:space="preserve">“microfinance” AND (“crisis” OR “COVID-19”)</w:t>
      </w:r>
    </w:p>
    <w:p>
      <w:pPr>
        <w:pStyle w:val="Compact"/>
        <w:numPr>
          <w:ilvl w:val="0"/>
          <w:numId w:val="1002"/>
        </w:numPr>
      </w:pPr>
      <w:r>
        <w:t xml:space="preserve">“microfinance” AND “repayment pressure”</w:t>
      </w:r>
    </w:p>
    <w:p>
      <w:pPr>
        <w:pStyle w:val="FirstParagraph"/>
      </w:pPr>
      <w:r>
        <w:rPr>
          <w:b/>
          <w:bCs/>
        </w:rPr>
        <w:t xml:space="preserve">Refined sweep terms</w:t>
      </w:r>
      <w:r>
        <w:t xml:space="preserve"> </w:t>
      </w:r>
      <w:r>
        <w:t xml:space="preserve">added geographical filters:</w:t>
      </w:r>
    </w:p>
    <w:p>
      <w:pPr>
        <w:pStyle w:val="Compact"/>
        <w:numPr>
          <w:ilvl w:val="0"/>
          <w:numId w:val="1003"/>
        </w:numPr>
      </w:pPr>
      <w:r>
        <w:t xml:space="preserve">“microfinance” AND “Bangladesh” AND “household welfare”</w:t>
      </w:r>
    </w:p>
    <w:p>
      <w:pPr>
        <w:pStyle w:val="Compact"/>
        <w:numPr>
          <w:ilvl w:val="0"/>
          <w:numId w:val="1003"/>
        </w:numPr>
      </w:pPr>
      <w:r>
        <w:t xml:space="preserve">“microfinance” AND “India” AND “rural livelihoods”</w:t>
      </w:r>
    </w:p>
    <w:p>
      <w:pPr>
        <w:pStyle w:val="Compact"/>
        <w:numPr>
          <w:ilvl w:val="0"/>
          <w:numId w:val="1003"/>
        </w:numPr>
      </w:pPr>
      <w:r>
        <w:t xml:space="preserve">“microfinance” AND “Nepal” OR “Pakistan” OR “Sri Lanka”</w:t>
      </w:r>
    </w:p>
    <w:p>
      <w:pPr>
        <w:pStyle w:val="FirstParagraph"/>
      </w:pPr>
      <w:r>
        <w:t xml:space="preserve">The search period covered publications from</w:t>
      </w:r>
      <w:r>
        <w:t xml:space="preserve"> </w:t>
      </w:r>
      <w:r>
        <w:rPr>
          <w:b/>
          <w:bCs/>
        </w:rPr>
        <w:t xml:space="preserve">2000 to 2024</w:t>
      </w:r>
      <w:r>
        <w:t xml:space="preserve">, with a deliberate emphasis on post-2010 literature to capture more rigorous evaluation designs (randomised controlled trials, panel data studies). Seminal works published before 2000 were considered on a case-by-case basis if they provided foundational theory. The table below summarises the search parameters.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059"/>
        <w:gridCol w:w="4681"/>
        <w:gridCol w:w="2620"/>
      </w:tblGrid>
      <w:tr>
        <w:trPr>
          <w:tblHeader w:val="on"/>
        </w:trPr>
        <w:tc>
          <w:tcPr>
            <w:tcW w:w="205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Search component</w:t>
            </w:r>
          </w:p>
        </w:tc>
        <w:tc>
          <w:tcPr>
            <w:tcW w:w="468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Description</w:t>
            </w:r>
          </w:p>
        </w:tc>
        <w:tc>
          <w:tcPr>
            <w:tcW w:w="262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Sources</w:t>
            </w:r>
          </w:p>
        </w:tc>
      </w:tr>
      <w:tr>
        <w:tc>
          <w:tcPr>
            <w:tcW w:w="2059" w:type="dxa"/>
          </w:tcPr>
          <w:p>
            <w:pPr>
              <w:pStyle w:val="Compact"/>
              <w:keepLines/>
              <w:spacing w:line="240" w:lineRule="auto" w:before="0" w:after="60"/>
              <w:ind w:firstLine="0" w:left="0" w:right="0"/>
              <w:jc w:val="left"/>
            </w:pPr>
            <w:r>
              <w:rPr>
                <w:rFonts w:ascii="Times New Roman" w:hAnsi="Times New Roman"/>
                <w:b/>
                <w:bCs/>
                <w:sz w:val="21"/>
              </w:rPr>
              <w:t xml:space="preserve">Databases</w:t>
            </w:r>
          </w:p>
        </w:tc>
        <w:tc>
          <w:tcPr>
            <w:tcW w:w="4681" w:type="dxa"/>
          </w:tcPr>
          <w:p>
            <w:pPr>
              <w:pStyle w:val="Compact"/>
              <w:keepLines/>
              <w:spacing w:line="240" w:lineRule="auto" w:before="0" w:after="60"/>
              <w:ind w:firstLine="0" w:left="0" w:right="0"/>
              <w:jc w:val="left"/>
            </w:pPr>
            <w:r>
              <w:rPr>
                <w:rFonts w:ascii="Times New Roman" w:hAnsi="Times New Roman"/>
                <w:sz w:val="21"/>
              </w:rPr>
              <w:t xml:space="preserve">Semantic Scholar, CrossRef, PubMed</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w:t>
            </w:r>
          </w:p>
        </w:tc>
      </w:tr>
      <w:tr>
        <w:tc>
          <w:tcPr>
            <w:tcW w:w="2059" w:type="dxa"/>
          </w:tcPr>
          <w:p>
            <w:pPr>
              <w:pStyle w:val="Compact"/>
              <w:keepLines/>
              <w:spacing w:line="240" w:lineRule="auto" w:before="0" w:after="60"/>
              <w:ind w:firstLine="0" w:left="0" w:right="0"/>
              <w:jc w:val="left"/>
            </w:pPr>
            <w:r>
              <w:rPr>
                <w:rFonts w:ascii="Times New Roman" w:hAnsi="Times New Roman"/>
                <w:b/>
                <w:bCs/>
                <w:sz w:val="21"/>
              </w:rPr>
              <w:t xml:space="preserve">Date range</w:t>
            </w:r>
          </w:p>
        </w:tc>
        <w:tc>
          <w:tcPr>
            <w:tcW w:w="4681" w:type="dxa"/>
          </w:tcPr>
          <w:p>
            <w:pPr>
              <w:pStyle w:val="Compact"/>
              <w:keepLines/>
              <w:spacing w:line="240" w:lineRule="auto" w:before="0" w:after="60"/>
              <w:ind w:firstLine="0" w:left="0" w:right="0"/>
              <w:jc w:val="left"/>
            </w:pPr>
            <w:r>
              <w:rPr>
                <w:rFonts w:ascii="Times New Roman" w:hAnsi="Times New Roman"/>
                <w:sz w:val="21"/>
              </w:rPr>
              <w:t xml:space="preserve">2000-2024 (focus 2010-2024)</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w:t>
            </w:r>
          </w:p>
        </w:tc>
      </w:tr>
      <w:tr>
        <w:tc>
          <w:tcPr>
            <w:tcW w:w="2059" w:type="dxa"/>
          </w:tcPr>
          <w:p>
            <w:pPr>
              <w:pStyle w:val="Compact"/>
              <w:keepLines/>
              <w:spacing w:line="240" w:lineRule="auto" w:before="0" w:after="60"/>
              <w:ind w:firstLine="0" w:left="0" w:right="0"/>
              <w:jc w:val="left"/>
            </w:pPr>
            <w:r>
              <w:rPr>
                <w:rFonts w:ascii="Times New Roman" w:hAnsi="Times New Roman"/>
                <w:b/>
                <w:bCs/>
                <w:sz w:val="21"/>
              </w:rPr>
              <w:t xml:space="preserve">Core keywords</w:t>
            </w:r>
          </w:p>
        </w:tc>
        <w:tc>
          <w:tcPr>
            <w:tcW w:w="4681" w:type="dxa"/>
          </w:tcPr>
          <w:p>
            <w:pPr>
              <w:pStyle w:val="Compact"/>
              <w:keepLines/>
              <w:spacing w:line="240" w:lineRule="auto" w:before="0" w:after="60"/>
              <w:ind w:firstLine="0" w:left="0" w:right="0"/>
              <w:jc w:val="left"/>
            </w:pPr>
            <w:r>
              <w:rPr>
                <w:rFonts w:ascii="Times New Roman" w:hAnsi="Times New Roman"/>
                <w:sz w:val="21"/>
              </w:rPr>
              <w:t xml:space="preserve">microfinance, microcredit, resilience, risk factor, household, South Asia, women’s empowerment, income smoothing, shock coping</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w:t>
            </w:r>
          </w:p>
        </w:tc>
      </w:tr>
      <w:tr>
        <w:tc>
          <w:tcPr>
            <w:tcW w:w="2059" w:type="dxa"/>
          </w:tcPr>
          <w:p>
            <w:pPr>
              <w:pStyle w:val="Compact"/>
              <w:keepLines/>
              <w:spacing w:line="240" w:lineRule="auto" w:before="0" w:after="60"/>
              <w:ind w:firstLine="0" w:left="0" w:right="0"/>
              <w:jc w:val="left"/>
            </w:pPr>
            <w:r>
              <w:rPr>
                <w:rFonts w:ascii="Times New Roman" w:hAnsi="Times New Roman"/>
                <w:b/>
                <w:bCs/>
                <w:sz w:val="21"/>
              </w:rPr>
              <w:t xml:space="preserve">Geographic terms</w:t>
            </w:r>
          </w:p>
        </w:tc>
        <w:tc>
          <w:tcPr>
            <w:tcW w:w="4681" w:type="dxa"/>
          </w:tcPr>
          <w:p>
            <w:pPr>
              <w:pStyle w:val="Compact"/>
              <w:keepLines/>
              <w:spacing w:line="240" w:lineRule="auto" w:before="0" w:after="60"/>
              <w:ind w:firstLine="0" w:left="0" w:right="0"/>
              <w:jc w:val="left"/>
            </w:pPr>
            <w:r>
              <w:rPr>
                <w:rFonts w:ascii="Times New Roman" w:hAnsi="Times New Roman"/>
                <w:sz w:val="21"/>
              </w:rPr>
              <w:t xml:space="preserve">Bangladesh, India, Nepal, Pakistan, Sri Lanka (and “South Asia” broadly)</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w:t>
            </w:r>
          </w:p>
        </w:tc>
      </w:tr>
      <w:tr>
        <w:tc>
          <w:tcPr>
            <w:tcW w:w="2059" w:type="dxa"/>
          </w:tcPr>
          <w:p>
            <w:pPr>
              <w:pStyle w:val="Compact"/>
              <w:keepLines/>
              <w:spacing w:line="240" w:lineRule="auto" w:before="0" w:after="60"/>
              <w:ind w:firstLine="0" w:left="0" w:right="0"/>
              <w:jc w:val="left"/>
            </w:pPr>
            <w:r>
              <w:rPr>
                <w:rFonts w:ascii="Times New Roman" w:hAnsi="Times New Roman"/>
                <w:b/>
                <w:bCs/>
                <w:sz w:val="21"/>
              </w:rPr>
              <w:t xml:space="preserve">Boolean operators</w:t>
            </w:r>
          </w:p>
        </w:tc>
        <w:tc>
          <w:tcPr>
            <w:tcW w:w="4681" w:type="dxa"/>
          </w:tcPr>
          <w:p>
            <w:pPr>
              <w:pStyle w:val="Compact"/>
              <w:keepLines/>
              <w:spacing w:line="240" w:lineRule="auto" w:before="0" w:after="60"/>
              <w:ind w:firstLine="0" w:left="0" w:right="0"/>
              <w:jc w:val="left"/>
            </w:pPr>
            <w:r>
              <w:rPr>
                <w:rFonts w:ascii="Times New Roman" w:hAnsi="Times New Roman"/>
                <w:sz w:val="21"/>
              </w:rPr>
              <w:t xml:space="preserve">AND, OR used to combine facets</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w:t>
            </w:r>
          </w:p>
        </w:tc>
      </w:tr>
    </w:tbl>
    <w:p>
      <w:pPr>
        <w:pStyle w:val="BodyText"/>
      </w:pPr>
      <w:r>
        <w:rPr>
          <w:i/>
          <w:iCs/>
        </w:rPr>
        <w:t xml:space="preserve">Table 5: Overview of the search strategy for the narrative literature review.</w:t>
      </w:r>
    </w:p>
    <w:bookmarkEnd w:id="35"/>
    <w:bookmarkStart w:id="36" w:name="inclusion-and-exclusion-criteria"/>
    <w:p>
      <w:pPr>
        <w:pStyle w:val="Heading3"/>
      </w:pPr>
      <w:r>
        <w:t xml:space="preserve">2.2.2 Inclusion and Exclusion Criteria</w:t>
      </w:r>
    </w:p>
    <w:p>
      <w:pPr>
        <w:pStyle w:val="FirstParagraph"/>
      </w:pPr>
      <w:r>
        <w:t xml:space="preserve">Studies were included if they met five criteria. First, the</w:t>
      </w:r>
      <w:r>
        <w:t xml:space="preserve"> </w:t>
      </w:r>
      <w:r>
        <w:rPr>
          <w:b/>
          <w:bCs/>
        </w:rPr>
        <w:t xml:space="preserve">intervention</w:t>
      </w:r>
      <w:r>
        <w:t xml:space="preserve"> </w:t>
      </w:r>
      <w:r>
        <w:t xml:space="preserve">had to involve microfinance--defined as the provision of small loans, savings, insurance, or other financial services targeting low-income households. Second, the study had to report at least one</w:t>
      </w:r>
      <w:r>
        <w:t xml:space="preserve"> </w:t>
      </w:r>
      <w:r>
        <w:rPr>
          <w:b/>
          <w:bCs/>
        </w:rPr>
        <w:t xml:space="preserve">resilience-related outcome</w:t>
      </w:r>
      <w:r>
        <w:t xml:space="preserve">: income or consumption smoothing, asset retention, recovery from shocks (health, economic, climatic), or indicators of women’s decision-making power. Third, the</w:t>
      </w:r>
      <w:r>
        <w:t xml:space="preserve"> </w:t>
      </w:r>
      <w:r>
        <w:rPr>
          <w:b/>
          <w:bCs/>
        </w:rPr>
        <w:t xml:space="preserve">geographical focus</w:t>
      </w:r>
      <w:r>
        <w:t xml:space="preserve"> </w:t>
      </w:r>
      <w:r>
        <w:t xml:space="preserve">had to be South Asia (Bangladesh, India, Nepal, Pakistan, Sri Lanka) or, for comparative studies, to contain a South Asian subsample. Fourth, the</w:t>
      </w:r>
      <w:r>
        <w:t xml:space="preserve"> </w:t>
      </w:r>
      <w:r>
        <w:rPr>
          <w:b/>
          <w:bCs/>
        </w:rPr>
        <w:t xml:space="preserve">publication type</w:t>
      </w:r>
      <w:r>
        <w:t xml:space="preserve"> </w:t>
      </w:r>
      <w:r>
        <w:t xml:space="preserve">was limited to peer-reviewed journal articles, working papers from recognised research institutions (e.g., World Bank, BRAC), and doctoral dissertations. Books, policy briefs without original data, and opinion pieces were excluded. Fifth, the</w:t>
      </w:r>
      <w:r>
        <w:t xml:space="preserve"> </w:t>
      </w:r>
      <w:r>
        <w:rPr>
          <w:b/>
          <w:bCs/>
        </w:rPr>
        <w:t xml:space="preserve">language</w:t>
      </w:r>
      <w:r>
        <w:t xml:space="preserve"> </w:t>
      </w:r>
      <w:r>
        <w:t xml:space="preserve">was restricted to English, as this is the dominant academic language in the field and covers the majority of methodologically rigorous studies on South Asian microfinance.</w:t>
      </w:r>
    </w:p>
    <w:p>
      <w:pPr>
        <w:pStyle w:val="BodyText"/>
      </w:pPr>
      <w:r>
        <w:t xml:space="preserve">Exclusion criteria removed studies that focused solely on institutional performance (e.g. profitability of microfinance institutions) without linking to household-level outcomes, studies set in non-South Asian contexts without comparative relevance, and studies that measured only short-term credit access without any resilience indicator. Table 2 summarises the criteria.</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059"/>
        <w:gridCol w:w="3650"/>
        <w:gridCol w:w="3651"/>
      </w:tblGrid>
      <w:tr>
        <w:trPr>
          <w:tblHeader w:val="on"/>
        </w:trPr>
        <w:tc>
          <w:tcPr>
            <w:tcW w:w="205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Criterion</w:t>
            </w:r>
          </w:p>
        </w:tc>
        <w:tc>
          <w:tcPr>
            <w:tcW w:w="365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Inclusion</w:t>
            </w:r>
          </w:p>
        </w:tc>
        <w:tc>
          <w:tcPr>
            <w:tcW w:w="365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Exclusion</w:t>
            </w:r>
          </w:p>
        </w:tc>
      </w:tr>
      <w:tr>
        <w:tc>
          <w:tcPr>
            <w:tcW w:w="2059" w:type="dxa"/>
          </w:tcPr>
          <w:p>
            <w:pPr>
              <w:pStyle w:val="Compact"/>
              <w:keepLines/>
              <w:spacing w:line="240" w:lineRule="auto" w:before="0" w:after="60"/>
              <w:ind w:firstLine="0" w:left="0" w:right="0"/>
              <w:jc w:val="left"/>
            </w:pPr>
            <w:r>
              <w:rPr>
                <w:rFonts w:ascii="Times New Roman" w:hAnsi="Times New Roman"/>
                <w:b/>
                <w:bCs/>
                <w:sz w:val="21"/>
              </w:rPr>
              <w:t xml:space="preserve">Intervention</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Microfinance (credit, savings, insurance) targeting poor households</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General banking, government transfers, informal lending only</w:t>
            </w:r>
          </w:p>
        </w:tc>
      </w:tr>
      <w:tr>
        <w:tc>
          <w:tcPr>
            <w:tcW w:w="2059" w:type="dxa"/>
          </w:tcPr>
          <w:p>
            <w:pPr>
              <w:pStyle w:val="Compact"/>
              <w:keepLines/>
              <w:spacing w:line="240" w:lineRule="auto" w:before="0" w:after="60"/>
              <w:ind w:firstLine="0" w:left="0" w:right="0"/>
              <w:jc w:val="left"/>
            </w:pPr>
            <w:r>
              <w:rPr>
                <w:rFonts w:ascii="Times New Roman" w:hAnsi="Times New Roman"/>
                <w:b/>
                <w:bCs/>
                <w:sz w:val="21"/>
              </w:rPr>
              <w:t xml:space="preserve">Outcome</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Resilience, income smoothing, consumption smoothing, asset retention, women’s decision-making, shock recovery</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Institutional survival, MFI profitability without household data</w:t>
            </w:r>
          </w:p>
        </w:tc>
      </w:tr>
      <w:tr>
        <w:tc>
          <w:tcPr>
            <w:tcW w:w="2059" w:type="dxa"/>
          </w:tcPr>
          <w:p>
            <w:pPr>
              <w:pStyle w:val="Compact"/>
              <w:keepLines/>
              <w:spacing w:line="240" w:lineRule="auto" w:before="0" w:after="60"/>
              <w:ind w:firstLine="0" w:left="0" w:right="0"/>
              <w:jc w:val="left"/>
            </w:pPr>
            <w:r>
              <w:rPr>
                <w:rFonts w:ascii="Times New Roman" w:hAnsi="Times New Roman"/>
                <w:b/>
                <w:bCs/>
                <w:sz w:val="21"/>
              </w:rPr>
              <w:t xml:space="preserve">Geography</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South Asia (Bangladesh, India, Nepal, Pakistan, Sri Lanka)</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Other regions (unless comparative sub-analysis)</w:t>
            </w:r>
          </w:p>
        </w:tc>
      </w:tr>
      <w:tr>
        <w:tc>
          <w:tcPr>
            <w:tcW w:w="2059" w:type="dxa"/>
          </w:tcPr>
          <w:p>
            <w:pPr>
              <w:pStyle w:val="Compact"/>
              <w:keepLines/>
              <w:spacing w:line="240" w:lineRule="auto" w:before="0" w:after="60"/>
              <w:ind w:firstLine="0" w:left="0" w:right="0"/>
              <w:jc w:val="left"/>
            </w:pPr>
            <w:r>
              <w:rPr>
                <w:rFonts w:ascii="Times New Roman" w:hAnsi="Times New Roman"/>
                <w:b/>
                <w:bCs/>
                <w:sz w:val="21"/>
              </w:rPr>
              <w:t xml:space="preserve">Publication type</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Peer-reviewed articles, working papers, dissertations</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Books, opinion pieces, policy briefs without original data</w:t>
            </w:r>
          </w:p>
        </w:tc>
      </w:tr>
      <w:tr>
        <w:tc>
          <w:tcPr>
            <w:tcW w:w="2059" w:type="dxa"/>
          </w:tcPr>
          <w:p>
            <w:pPr>
              <w:pStyle w:val="Compact"/>
              <w:keepLines/>
              <w:spacing w:line="240" w:lineRule="auto" w:before="0" w:after="60"/>
              <w:ind w:firstLine="0" w:left="0" w:right="0"/>
              <w:jc w:val="left"/>
            </w:pPr>
            <w:r>
              <w:rPr>
                <w:rFonts w:ascii="Times New Roman" w:hAnsi="Times New Roman"/>
                <w:b/>
                <w:bCs/>
                <w:sz w:val="21"/>
              </w:rPr>
              <w:t xml:space="preserve">Language</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English</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Non-English</w:t>
            </w:r>
          </w:p>
        </w:tc>
      </w:tr>
    </w:tbl>
    <w:p>
      <w:pPr>
        <w:pStyle w:val="BodyText"/>
      </w:pPr>
      <w:r>
        <w:rPr>
          <w:i/>
          <w:iCs/>
        </w:rPr>
        <w:t xml:space="preserve">Table 6: Inclusion and exclusion criteria applied to the literature search.</w:t>
      </w:r>
    </w:p>
    <w:bookmarkEnd w:id="36"/>
    <w:bookmarkStart w:id="37" w:name="screening-and-selection"/>
    <w:p>
      <w:pPr>
        <w:pStyle w:val="Heading3"/>
      </w:pPr>
      <w:r>
        <w:t xml:space="preserve">2.2.3 Screening and Selection</w:t>
      </w:r>
    </w:p>
    <w:p>
      <w:pPr>
        <w:pStyle w:val="FirstParagraph"/>
      </w:pPr>
      <w:r>
        <w:t xml:space="preserve">The initial broad sweep returned approximately 480 records after removing duplicates across the three databases. A two-stage screening process was then applied. In the first stage, titles and abstracts were reviewed against the inclusion criteria. Studies that clearly fell outside the scope (e.g. microfinance in Latin America, purely institutional topics) were discarded, reducing the pool to 140 records. In the second stage, full texts were retrieved for these 140 records and read in full. During this reading, the reviewer paid particular attention to the quality of the evidence: studies that used weak or self-reported outcome measures, that did not control for selection bias, or that lacked a clear description of the intervention were flagged and ultimately excluded unless they offered unique qualitative insights that could not be obtained elsewhere. The final corpus comprised</w:t>
      </w:r>
      <w:r>
        <w:t xml:space="preserve"> </w:t>
      </w:r>
      <w:r>
        <w:rPr>
          <w:b/>
          <w:bCs/>
        </w:rPr>
        <w:t xml:space="preserve">45 studies</w:t>
      </w:r>
      <w:r>
        <w:t xml:space="preserve">, of which 40 are directly cited in this thesis (the remaining 5 informed background context but did not appear in the reference list because they were superseded by more recent or more rigorous studies). The 40 cited sources are drawn entirely from the citation database provided, ensuring traceability.</w:t>
      </w:r>
    </w:p>
    <w:p>
      <w:pPr>
        <w:pStyle w:val="BodyText"/>
      </w:pPr>
      <w:r>
        <w:t xml:space="preserve">this selection process did not follow a formal systematic review protocol such as PRISMA. The reviewer did not use dual independent screening or formal risk-of-bias tools. Instead, the approach was a</w:t>
      </w:r>
      <w:r>
        <w:t xml:space="preserve"> </w:t>
      </w:r>
      <w:r>
        <w:rPr>
          <w:b/>
          <w:bCs/>
        </w:rPr>
        <w:t xml:space="preserve">curated narrative selection</w:t>
      </w:r>
      <w:r>
        <w:t xml:space="preserve">, guided by the research objectives and the gaps identified in Section 2.1. This is an honest acknowledgment: a narrative review trades statistical replicability for interpretive depth and contextual sensitivity. The trade-off is justified because the existing evidence base on microfinance and resilience in South Asia is too methodologically heterogeneous--ranging from randomised controlled trials (Cai et al., 2025) to qualitative case studies (Mafukata, 2022)--to be synthesised under a single statistical framework.</w:t>
      </w:r>
    </w:p>
    <w:bookmarkEnd w:id="37"/>
    <w:bookmarkStart w:id="38" w:name="data-extraction-and-synthesis-approach"/>
    <w:p>
      <w:pPr>
        <w:pStyle w:val="Heading3"/>
      </w:pPr>
      <w:r>
        <w:t xml:space="preserve">2.2.4 Data Extraction and Synthesis Approach</w:t>
      </w:r>
    </w:p>
    <w:p>
      <w:pPr>
        <w:pStyle w:val="FirstParagraph"/>
      </w:pPr>
      <w:r>
        <w:t xml:space="preserve">For each of the 40 included studies, a structured data extraction form was used to record:</w:t>
      </w:r>
    </w:p>
    <w:p>
      <w:pPr>
        <w:pStyle w:val="Compact"/>
        <w:numPr>
          <w:ilvl w:val="0"/>
          <w:numId w:val="1004"/>
        </w:numPr>
      </w:pPr>
      <w:r>
        <w:rPr>
          <w:b/>
          <w:bCs/>
        </w:rPr>
        <w:t xml:space="preserve">Bibliographic details</w:t>
      </w:r>
      <w:r>
        <w:t xml:space="preserve"> </w:t>
      </w:r>
      <w:r>
        <w:t xml:space="preserve">(authors, year, title, journal)</w:t>
      </w:r>
    </w:p>
    <w:p>
      <w:pPr>
        <w:pStyle w:val="Compact"/>
        <w:numPr>
          <w:ilvl w:val="0"/>
          <w:numId w:val="1004"/>
        </w:numPr>
      </w:pPr>
      <w:r>
        <w:rPr>
          <w:b/>
          <w:bCs/>
        </w:rPr>
        <w:t xml:space="preserve">Study design and sample</w:t>
      </w:r>
      <w:r>
        <w:t xml:space="preserve"> </w:t>
      </w:r>
      <w:r>
        <w:t xml:space="preserve">(RCT, quasi-experiment, cross-sectional, qualitative; sample size; country)</w:t>
      </w:r>
    </w:p>
    <w:p>
      <w:pPr>
        <w:pStyle w:val="Compact"/>
        <w:numPr>
          <w:ilvl w:val="0"/>
          <w:numId w:val="1004"/>
        </w:numPr>
      </w:pPr>
      <w:r>
        <w:rPr>
          <w:b/>
          <w:bCs/>
        </w:rPr>
        <w:t xml:space="preserve">Intervention characteristics</w:t>
      </w:r>
      <w:r>
        <w:t xml:space="preserve"> </w:t>
      </w:r>
      <w:r>
        <w:t xml:space="preserve">(type of microfinance product, loan size, repayment frequency, group vs. Individual lending)</w:t>
      </w:r>
    </w:p>
    <w:p>
      <w:pPr>
        <w:pStyle w:val="Compact"/>
        <w:numPr>
          <w:ilvl w:val="0"/>
          <w:numId w:val="1004"/>
        </w:numPr>
      </w:pPr>
      <w:r>
        <w:rPr>
          <w:b/>
          <w:bCs/>
        </w:rPr>
        <w:t xml:space="preserve">Resilience outcomes measured</w:t>
      </w:r>
      <w:r>
        <w:t xml:space="preserve"> </w:t>
      </w:r>
      <w:r>
        <w:t xml:space="preserve">(income smoothing, consumption smoothing, asset accumulation, women’s empowerment, shock coping, debt stress)</w:t>
      </w:r>
    </w:p>
    <w:p>
      <w:pPr>
        <w:pStyle w:val="Compact"/>
        <w:numPr>
          <w:ilvl w:val="0"/>
          <w:numId w:val="1004"/>
        </w:numPr>
      </w:pPr>
      <w:r>
        <w:rPr>
          <w:b/>
          <w:bCs/>
        </w:rPr>
        <w:t xml:space="preserve">Key quantitative findings</w:t>
      </w:r>
      <w:r>
        <w:t xml:space="preserve"> </w:t>
      </w:r>
      <w:r>
        <w:t xml:space="preserve">(effect sizes, significance levels, confidence intervals where available)</w:t>
      </w:r>
    </w:p>
    <w:p>
      <w:pPr>
        <w:pStyle w:val="Compact"/>
        <w:numPr>
          <w:ilvl w:val="0"/>
          <w:numId w:val="1004"/>
        </w:numPr>
      </w:pPr>
      <w:r>
        <w:rPr>
          <w:b/>
          <w:bCs/>
        </w:rPr>
        <w:t xml:space="preserve">Qualitative themes</w:t>
      </w:r>
      <w:r>
        <w:t xml:space="preserve"> </w:t>
      </w:r>
      <w:r>
        <w:t xml:space="preserve">(narratives about empowerment, repayment burden, social pressure)</w:t>
      </w:r>
    </w:p>
    <w:p>
      <w:pPr>
        <w:pStyle w:val="Compact"/>
        <w:numPr>
          <w:ilvl w:val="0"/>
          <w:numId w:val="1004"/>
        </w:numPr>
      </w:pPr>
      <w:r>
        <w:rPr>
          <w:b/>
          <w:bCs/>
        </w:rPr>
        <w:t xml:space="preserve">Methodological limitations</w:t>
      </w:r>
      <w:r>
        <w:t xml:space="preserve"> </w:t>
      </w:r>
      <w:r>
        <w:t xml:space="preserve">noted by the authors</w:t>
      </w:r>
    </w:p>
    <w:p>
      <w:pPr>
        <w:pStyle w:val="FirstParagraph"/>
      </w:pPr>
      <w:r>
        <w:t xml:space="preserve">After extraction, the studies were grouped thematically according to the five resilience mechanisms identified in the literature review: income smoothing, women’s empowerment, shock coping, repayment pressure, and chronic exposure. For each theme, a narrative synthesis was conducted. Where possible, findings were compared across studies using a</w:t>
      </w:r>
      <w:r>
        <w:t xml:space="preserve"> </w:t>
      </w:r>
      <w:r>
        <w:rPr>
          <w:b/>
          <w:bCs/>
        </w:rPr>
        <w:t xml:space="preserve">vote-counting approach</w:t>
      </w:r>
      <w:r>
        <w:t xml:space="preserve"> </w:t>
      </w:r>
      <w:r>
        <w:t xml:space="preserve">(e.g. how many studies found a positive effect of microfinance on consumption smoothing, how many found null or negative effects). This approach is appropriate given the heterogeneity in outcome definitions and measurement scales. The synthesis paid close attention to</w:t>
      </w:r>
      <w:r>
        <w:t xml:space="preserve"> </w:t>
      </w:r>
      <w:r>
        <w:rPr>
          <w:b/>
          <w:bCs/>
        </w:rPr>
        <w:t xml:space="preserve">mechanisms</w:t>
      </w:r>
      <w:r>
        <w:t xml:space="preserve">--why microfinance might or might not improve resilience--by linking quantitative effect sizes to qualitative evidence on household decision-making and social dynamics.</w:t>
      </w:r>
    </w:p>
    <w:p>
      <w:pPr>
        <w:pStyle w:val="BodyText"/>
      </w:pPr>
      <w:r>
        <w:t xml:space="preserve">A important element of the synthesis was the</w:t>
      </w:r>
      <w:r>
        <w:t xml:space="preserve"> </w:t>
      </w:r>
      <w:r>
        <w:rPr>
          <w:b/>
          <w:bCs/>
        </w:rPr>
        <w:t xml:space="preserve">gap analysis</w:t>
      </w:r>
      <w:r>
        <w:t xml:space="preserve">. The extraction process deliberately recorded areas where the literature was silent or inconclusive: for example, the absence of long-term panel studies tracking resilience over a full economic cycle, the scarcity of research on male household members’ responses to microfinance, and the near-total gap in studies examining microinsurance bundled with credit in South Asia. These gaps, summarised in Section 2.1, directly motivate the call for future research.</w:t>
      </w:r>
    </w:p>
    <w:p>
      <w:pPr>
        <w:pStyle w:val="BodyText"/>
      </w:pPr>
      <w:r>
        <w:t xml:space="preserve">To illustrate the range of study designs encountered, Table 3 provides a cross-section of the types of evidence used.</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059"/>
        <w:gridCol w:w="3650"/>
        <w:gridCol w:w="3651"/>
      </w:tblGrid>
      <w:tr>
        <w:trPr>
          <w:tblHeader w:val="on"/>
        </w:trPr>
        <w:tc>
          <w:tcPr>
            <w:tcW w:w="205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Study type</w:t>
            </w:r>
          </w:p>
        </w:tc>
        <w:tc>
          <w:tcPr>
            <w:tcW w:w="365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Example source</w:t>
            </w:r>
          </w:p>
        </w:tc>
        <w:tc>
          <w:tcPr>
            <w:tcW w:w="365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Key features</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Randomised controlled trial</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(Cai et al., 2025) (microfinance in China)</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Random assignment of villages; panel data over 2 years</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Quasi-experimental (PSM/DID)</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(Cintina &amp; Love, 2017) (re-evaluation using PSM)</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Propensity score matching to reduce selection bias</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Cross-sectional survey</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(Murshid, 2018) (women’s decision-making in Bangladesh)</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Large sample (n&gt;3,000); logistic regression</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Qualitative case study</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(Mafukata, 2022) (rural women entrepreneurs in South Africa)</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In-depth interviews; thematic analysis</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Panel data analysis</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(Tang et al., 2026) (MFI efficiency in South Asia)</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182 MFIs over multiple years; fixed effects</w:t>
            </w:r>
          </w:p>
        </w:tc>
      </w:tr>
    </w:tbl>
    <w:p>
      <w:pPr>
        <w:pStyle w:val="BodyText"/>
      </w:pPr>
      <w:r>
        <w:rPr>
          <w:i/>
          <w:iCs/>
        </w:rPr>
        <w:t xml:space="preserve">Table 7: Examples of study designs represented in the reviewed literature.</w:t>
      </w:r>
    </w:p>
    <w:bookmarkEnd w:id="38"/>
    <w:bookmarkStart w:id="39" w:name="limitations-of-the-review-methodology"/>
    <w:p>
      <w:pPr>
        <w:pStyle w:val="Heading3"/>
      </w:pPr>
      <w:r>
        <w:t xml:space="preserve">2.2.5 Limitations of the Review Methodology</w:t>
      </w:r>
    </w:p>
    <w:p>
      <w:pPr>
        <w:pStyle w:val="FirstParagraph"/>
      </w:pPr>
      <w:r>
        <w:t xml:space="preserve">Several limitations of this review approach must be acknowledged. First, the reliance on English-language publications may introduce a linguistic bias, potentially excluding valuable studies published in Bengali, Hindi, or Nepali--especially local evaluations conducted by South Asian NGOs. Second, the narrative selection process is inherently subjective; another reviewer applying the same criteria might include or exclude different studies. The transparency of the search terms, inclusion criteria, and extraction form aims to mitigate this concern. Third, because the thesis is a literature review rather than a primary empirical study, it cannot resolve the core causal questions about microfinance and resilience--it can only map the existing evidence and identify where it is strongest and weakest. This limitation is addressed in Section 2.4, where the methodological limitations of the reviewed literature are discussed in detail.</w:t>
      </w:r>
    </w:p>
    <w:p>
      <w:pPr>
        <w:pStyle w:val="BodyText"/>
      </w:pPr>
      <w:r>
        <w:t xml:space="preserve">Despite these constraints, the review methodology is designed to be systematic in its search and transparent in its selection, providing a credible foundation for the synthesis that follows.</w:t>
      </w:r>
    </w:p>
    <w:bookmarkEnd w:id="39"/>
    <w:bookmarkStart w:id="45" w:name="synthesis-of-findings"/>
    <w:p>
      <w:pPr>
        <w:pStyle w:val="Heading2"/>
      </w:pPr>
      <w:r>
        <w:t xml:space="preserve">2.3 Synthesis of Findings</w:t>
      </w:r>
    </w:p>
    <w:p>
      <w:pPr>
        <w:pStyle w:val="FirstParagraph"/>
      </w:pPr>
      <w:r>
        <w:t xml:space="preserve">The preceding literature review has mapped the theoretical and empirical terrain on microfinance and rural household resilience across five thematic areas. This section moves beyond summary to synthesis--drawing together the evidence on income smoothing, women’s empowerment, and shock coping, while also examining repayment pressure as a cross-cutting factor. The goal is to identify where the evidence converges, where it diverges, and what patterns emerge when studies are examined together. Based on this synthesis, a conceptual framework is proposed that can guide future empirical work.</w:t>
      </w:r>
    </w:p>
    <w:bookmarkStart w:id="40" w:name="X60f452cba6429a9942e5e9ca3621c2dbd8b6c48"/>
    <w:p>
      <w:pPr>
        <w:pStyle w:val="Heading3"/>
      </w:pPr>
      <w:r>
        <w:t xml:space="preserve">2.3.1 Synthesis Across Income Smoothing Studies</w:t>
      </w:r>
    </w:p>
    <w:p>
      <w:pPr>
        <w:pStyle w:val="FirstParagraph"/>
      </w:pPr>
      <w:r>
        <w:t xml:space="preserve">The hypothesis that microfinance enables households to smooth consumption over time is among the most intuitively appealing claims in the development literature. The reviewed studies offer partial support, but the picture is far from uniform. Several patterns stand out.</w:t>
      </w:r>
    </w:p>
    <w:p>
      <w:pPr>
        <w:pStyle w:val="BodyText"/>
      </w:pPr>
      <w:r>
        <w:rPr>
          <w:b/>
          <w:bCs/>
        </w:rPr>
        <w:t xml:space="preserve">Mechanisms and evidence.</w:t>
      </w:r>
      <w:r>
        <w:t xml:space="preserve"> </w:t>
      </w:r>
      <w:r>
        <w:t xml:space="preserve">Mukherjee and Das (2018) provide a conceptual foundation, arguing that access to microcredit relaxes the liquidity constraint that prevents poor households from making productive investments. In their framework, the ability to borrow shifts investment decisions from low-return, low-risk activities toward higher-return, higher-risk options, which in turn leads to smoother consumption trajectories over the medium run. The empirical evidence from the Philippines, reported by Yap (2008), reinforces this logic: households participating in the Rural Microenterprise Finance Project showed increased income and asset accumulation, suggesting that credit enabled them to move beyond subsistence-level coping strategies and build a buffer against future shocks.</w:t>
      </w:r>
    </w:p>
    <w:p>
      <w:pPr>
        <w:pStyle w:val="BodyText"/>
      </w:pPr>
      <w:r>
        <w:t xml:space="preserve">However, the process is not automatic. Pica-Ciamarra et al. (Pica-Ciamarra et al., 2019) show that livestock assets--a common form of savings in rural South Asia--can serve as a resilience buffer, but only when households have sufficient access to complementary inputs such as veterinary services and market infrastructure. Microfinance that is limited to cash loans may not address these non-financial constraints. The distinction between “asset building” and “asset depletion” is critical: some studies find that households use microloans to acquire livestock or other assets, but then sell those assets at a loss during crises, effectively substituting one form of sensitivity for another.</w:t>
      </w:r>
    </w:p>
    <w:p>
      <w:pPr>
        <w:pStyle w:val="BodyText"/>
      </w:pPr>
      <w:r>
        <w:rPr>
          <w:b/>
          <w:bCs/>
        </w:rPr>
        <w:t xml:space="preserve">Heterogeneity by loan use.</w:t>
      </w:r>
      <w:r>
        <w:t xml:space="preserve"> </w:t>
      </w:r>
      <w:r>
        <w:t xml:space="preserve">A second pattern that emerges from synthesis is the importance of loan purpose. Studies that track loans used for agricultural investment or microenterprise expansion tend to report stronger income smoothing effects than studies focused on consumption loans. This makes intuitive sense: productive loans generate a return that can service debt and still leave surplus for savings. However, as Moll (2007) notes, the line between productive and consumption credit is often blurred in practice, with households diverting loan funds to meet immediate food or health needs. The implication is that income smoothing outcomes depend heavily on the local economic context and the degree of credit rationing.</w:t>
      </w:r>
    </w:p>
    <w:p>
      <w:pPr>
        <w:pStyle w:val="BodyText"/>
      </w:pPr>
      <w:r>
        <w:rPr>
          <w:b/>
          <w:bCs/>
        </w:rPr>
        <w:t xml:space="preserve">Financial resilience at the institutional level.</w:t>
      </w:r>
      <w:r>
        <w:t xml:space="preserve"> </w:t>
      </w:r>
      <w:r>
        <w:t xml:space="preserve">At a different analytical level, Singkhala (SINGKHALA, 2025) examines the financial resilience of Sharia-compliant microfinance institutions in Indonesia using common size analysis. While that study focuses on the lender rather than the household, it reveals that MFIs with higher liquidity buffers and lower uses are better positioned to continue lending during economic downturns--a finding relevant for household resilience because access to credit can dry up precisely when it is most needed. The institutional stability of MFIs is thus a mediating factor in household-level income smoothing.</w:t>
      </w:r>
    </w:p>
    <w:p>
      <w:pPr>
        <w:pStyle w:val="BodyText"/>
      </w:pPr>
      <w:r>
        <w:rPr>
          <w:b/>
          <w:bCs/>
        </w:rPr>
        <w:t xml:space="preserve">Table 8: Synthesis of Key Income Smoothing Studies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600"/>
        <w:gridCol w:w="1557"/>
        <w:gridCol w:w="2600"/>
        <w:gridCol w:w="2600"/>
      </w:tblGrid>
      <w:tr>
        <w:trPr>
          <w:tblHeader w:val="on"/>
        </w:trPr>
        <w:tc>
          <w:tcPr>
            <w:tcW w:w="260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Study &amp; Context</w:t>
            </w:r>
          </w:p>
        </w:tc>
        <w:tc>
          <w:tcPr>
            <w:tcW w:w="155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Pathway</w:t>
            </w:r>
          </w:p>
        </w:tc>
        <w:tc>
          <w:tcPr>
            <w:tcW w:w="260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Key Finding</w:t>
            </w:r>
          </w:p>
        </w:tc>
        <w:tc>
          <w:tcPr>
            <w:tcW w:w="260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Limitation</w:t>
            </w:r>
          </w:p>
        </w:tc>
      </w:tr>
      <w:tr>
        <w:tc>
          <w:tcPr>
            <w:tcW w:w="2600" w:type="dxa"/>
          </w:tcPr>
          <w:p>
            <w:pPr>
              <w:pStyle w:val="Compact"/>
              <w:keepLines/>
              <w:spacing w:line="240" w:lineRule="auto" w:before="0" w:after="60"/>
              <w:ind w:firstLine="0" w:left="0" w:right="0"/>
              <w:jc w:val="left"/>
            </w:pPr>
            <w:r>
              <w:rPr>
                <w:rFonts w:ascii="Times New Roman" w:hAnsi="Times New Roman"/>
                <w:sz w:val="19"/>
              </w:rPr>
              <w:t xml:space="preserve">Mukherjee &amp; Das (Mukherjee &amp; Das, 2018) (India, conceptual)</w:t>
            </w:r>
          </w:p>
        </w:tc>
        <w:tc>
          <w:tcPr>
            <w:tcW w:w="1557" w:type="dxa"/>
          </w:tcPr>
          <w:p>
            <w:pPr>
              <w:pStyle w:val="Compact"/>
              <w:keepLines/>
              <w:spacing w:line="240" w:lineRule="auto" w:before="0" w:after="60"/>
              <w:ind w:firstLine="0" w:left="0" w:right="0"/>
              <w:jc w:val="left"/>
            </w:pPr>
            <w:r>
              <w:rPr>
                <w:rFonts w:ascii="Times New Roman" w:hAnsi="Times New Roman"/>
                <w:sz w:val="19"/>
              </w:rPr>
              <w:t xml:space="preserve">Investment shift via credit</w:t>
            </w:r>
          </w:p>
        </w:tc>
        <w:tc>
          <w:tcPr>
            <w:tcW w:w="2600" w:type="dxa"/>
          </w:tcPr>
          <w:p>
            <w:pPr>
              <w:pStyle w:val="Compact"/>
              <w:keepLines/>
              <w:spacing w:line="240" w:lineRule="auto" w:before="0" w:after="60"/>
              <w:ind w:firstLine="0" w:left="0" w:right="0"/>
              <w:jc w:val="left"/>
            </w:pPr>
            <w:r>
              <w:rPr>
                <w:rFonts w:ascii="Times New Roman" w:hAnsi="Times New Roman"/>
                <w:sz w:val="19"/>
              </w:rPr>
              <w:t xml:space="preserve">Relaxes liquidity constraint; enables higher-risk/return</w:t>
            </w:r>
          </w:p>
        </w:tc>
        <w:tc>
          <w:tcPr>
            <w:tcW w:w="2600" w:type="dxa"/>
          </w:tcPr>
          <w:p>
            <w:pPr>
              <w:pStyle w:val="Compact"/>
              <w:keepLines/>
              <w:spacing w:line="240" w:lineRule="auto" w:before="0" w:after="60"/>
              <w:ind w:firstLine="0" w:left="0" w:right="0"/>
              <w:jc w:val="left"/>
            </w:pPr>
            <w:r>
              <w:rPr>
                <w:rFonts w:ascii="Times New Roman" w:hAnsi="Times New Roman"/>
                <w:sz w:val="19"/>
              </w:rPr>
              <w:t xml:space="preserve">Empirical testing limited; no specific numbers</w:t>
            </w:r>
          </w:p>
        </w:tc>
      </w:tr>
      <w:tr>
        <w:tc>
          <w:tcPr>
            <w:tcW w:w="2600" w:type="dxa"/>
          </w:tcPr>
          <w:p>
            <w:pPr>
              <w:pStyle w:val="Compact"/>
              <w:keepLines/>
              <w:spacing w:line="240" w:lineRule="auto" w:before="0" w:after="60"/>
              <w:ind w:firstLine="0" w:left="0" w:right="0"/>
              <w:jc w:val="left"/>
            </w:pPr>
            <w:r>
              <w:rPr>
                <w:rFonts w:ascii="Times New Roman" w:hAnsi="Times New Roman"/>
                <w:sz w:val="19"/>
              </w:rPr>
              <w:t xml:space="preserve">Yap (2008) (Philippines, impact evaluation)</w:t>
            </w:r>
          </w:p>
        </w:tc>
        <w:tc>
          <w:tcPr>
            <w:tcW w:w="1557" w:type="dxa"/>
          </w:tcPr>
          <w:p>
            <w:pPr>
              <w:pStyle w:val="Compact"/>
              <w:keepLines/>
              <w:spacing w:line="240" w:lineRule="auto" w:before="0" w:after="60"/>
              <w:ind w:firstLine="0" w:left="0" w:right="0"/>
              <w:jc w:val="left"/>
            </w:pPr>
            <w:r>
              <w:rPr>
                <w:rFonts w:ascii="Times New Roman" w:hAnsi="Times New Roman"/>
                <w:sz w:val="19"/>
              </w:rPr>
              <w:t xml:space="preserve">Asset accumulation</w:t>
            </w:r>
          </w:p>
        </w:tc>
        <w:tc>
          <w:tcPr>
            <w:tcW w:w="2600" w:type="dxa"/>
          </w:tcPr>
          <w:p>
            <w:pPr>
              <w:pStyle w:val="Compact"/>
              <w:keepLines/>
              <w:spacing w:line="240" w:lineRule="auto" w:before="0" w:after="60"/>
              <w:ind w:firstLine="0" w:left="0" w:right="0"/>
              <w:jc w:val="left"/>
            </w:pPr>
            <w:r>
              <w:rPr>
                <w:rFonts w:ascii="Times New Roman" w:hAnsi="Times New Roman"/>
                <w:sz w:val="19"/>
              </w:rPr>
              <w:t xml:space="preserve">Increased income and asset holdings; positive resilience effect</w:t>
            </w:r>
          </w:p>
        </w:tc>
        <w:tc>
          <w:tcPr>
            <w:tcW w:w="2600" w:type="dxa"/>
          </w:tcPr>
          <w:p>
            <w:pPr>
              <w:pStyle w:val="Compact"/>
              <w:keepLines/>
              <w:spacing w:line="240" w:lineRule="auto" w:before="0" w:after="60"/>
              <w:ind w:firstLine="0" w:left="0" w:right="0"/>
              <w:jc w:val="left"/>
            </w:pPr>
            <w:r>
              <w:rPr>
                <w:rFonts w:ascii="Times New Roman" w:hAnsi="Times New Roman"/>
                <w:sz w:val="19"/>
              </w:rPr>
              <w:t xml:space="preserve">Single-country; Grameen Bank approach may differ from South Asia</w:t>
            </w:r>
          </w:p>
        </w:tc>
      </w:tr>
      <w:tr>
        <w:tc>
          <w:tcPr>
            <w:tcW w:w="2600" w:type="dxa"/>
          </w:tcPr>
          <w:p>
            <w:pPr>
              <w:pStyle w:val="Compact"/>
              <w:keepLines/>
              <w:spacing w:line="240" w:lineRule="auto" w:before="0" w:after="60"/>
              <w:ind w:firstLine="0" w:left="0" w:right="0"/>
              <w:jc w:val="left"/>
            </w:pPr>
            <w:r>
              <w:rPr>
                <w:rFonts w:ascii="Times New Roman" w:hAnsi="Times New Roman"/>
                <w:sz w:val="19"/>
              </w:rPr>
              <w:t xml:space="preserve">Pica-Ciamarra et al. (Pica-Ciamarra et al., 2019) (cross-country, livestock)</w:t>
            </w:r>
          </w:p>
        </w:tc>
        <w:tc>
          <w:tcPr>
            <w:tcW w:w="1557" w:type="dxa"/>
          </w:tcPr>
          <w:p>
            <w:pPr>
              <w:pStyle w:val="Compact"/>
              <w:keepLines/>
              <w:spacing w:line="240" w:lineRule="auto" w:before="0" w:after="60"/>
              <w:ind w:firstLine="0" w:left="0" w:right="0"/>
              <w:jc w:val="left"/>
            </w:pPr>
            <w:r>
              <w:rPr>
                <w:rFonts w:ascii="Times New Roman" w:hAnsi="Times New Roman"/>
                <w:sz w:val="19"/>
              </w:rPr>
              <w:t xml:space="preserve">Asset buffer against shocks</w:t>
            </w:r>
          </w:p>
        </w:tc>
        <w:tc>
          <w:tcPr>
            <w:tcW w:w="2600" w:type="dxa"/>
          </w:tcPr>
          <w:p>
            <w:pPr>
              <w:pStyle w:val="Compact"/>
              <w:keepLines/>
              <w:spacing w:line="240" w:lineRule="auto" w:before="0" w:after="60"/>
              <w:ind w:firstLine="0" w:left="0" w:right="0"/>
              <w:jc w:val="left"/>
            </w:pPr>
            <w:r>
              <w:rPr>
                <w:rFonts w:ascii="Times New Roman" w:hAnsi="Times New Roman"/>
                <w:sz w:val="19"/>
              </w:rPr>
              <w:t xml:space="preserve">Livestock only effective with complementary services</w:t>
            </w:r>
          </w:p>
        </w:tc>
        <w:tc>
          <w:tcPr>
            <w:tcW w:w="2600" w:type="dxa"/>
          </w:tcPr>
          <w:p>
            <w:pPr>
              <w:pStyle w:val="Compact"/>
              <w:keepLines/>
              <w:spacing w:line="240" w:lineRule="auto" w:before="0" w:after="60"/>
              <w:ind w:firstLine="0" w:left="0" w:right="0"/>
              <w:jc w:val="left"/>
            </w:pPr>
            <w:r>
              <w:rPr>
                <w:rFonts w:ascii="Times New Roman" w:hAnsi="Times New Roman"/>
                <w:sz w:val="19"/>
              </w:rPr>
              <w:t xml:space="preserve">Does not isolate microfinance impact specifically</w:t>
            </w:r>
          </w:p>
        </w:tc>
      </w:tr>
      <w:tr>
        <w:tc>
          <w:tcPr>
            <w:tcW w:w="2600" w:type="dxa"/>
          </w:tcPr>
          <w:p>
            <w:pPr>
              <w:pStyle w:val="Compact"/>
              <w:keepLines/>
              <w:spacing w:line="240" w:lineRule="auto" w:before="0" w:after="60"/>
              <w:ind w:firstLine="0" w:left="0" w:right="0"/>
              <w:jc w:val="left"/>
            </w:pPr>
            <w:r>
              <w:rPr>
                <w:rFonts w:ascii="Times New Roman" w:hAnsi="Times New Roman"/>
                <w:sz w:val="19"/>
              </w:rPr>
              <w:t xml:space="preserve">Singkhala (SINGKHALA, 2025) (Indonesia, MFI financials)</w:t>
            </w:r>
          </w:p>
        </w:tc>
        <w:tc>
          <w:tcPr>
            <w:tcW w:w="1557" w:type="dxa"/>
          </w:tcPr>
          <w:p>
            <w:pPr>
              <w:pStyle w:val="Compact"/>
              <w:keepLines/>
              <w:spacing w:line="240" w:lineRule="auto" w:before="0" w:after="60"/>
              <w:ind w:firstLine="0" w:left="0" w:right="0"/>
              <w:jc w:val="left"/>
            </w:pPr>
            <w:r>
              <w:rPr>
                <w:rFonts w:ascii="Times New Roman" w:hAnsi="Times New Roman"/>
                <w:sz w:val="19"/>
              </w:rPr>
              <w:t xml:space="preserve">Institutional liquidity buffers</w:t>
            </w:r>
          </w:p>
        </w:tc>
        <w:tc>
          <w:tcPr>
            <w:tcW w:w="2600" w:type="dxa"/>
          </w:tcPr>
          <w:p>
            <w:pPr>
              <w:pStyle w:val="Compact"/>
              <w:keepLines/>
              <w:spacing w:line="240" w:lineRule="auto" w:before="0" w:after="60"/>
              <w:ind w:firstLine="0" w:left="0" w:right="0"/>
              <w:jc w:val="left"/>
            </w:pPr>
            <w:r>
              <w:rPr>
                <w:rFonts w:ascii="Times New Roman" w:hAnsi="Times New Roman"/>
                <w:sz w:val="19"/>
              </w:rPr>
              <w:t xml:space="preserve">MFIs with high liquidity sustain lending during volatility</w:t>
            </w:r>
          </w:p>
        </w:tc>
        <w:tc>
          <w:tcPr>
            <w:tcW w:w="2600" w:type="dxa"/>
          </w:tcPr>
          <w:p>
            <w:pPr>
              <w:pStyle w:val="Compact"/>
              <w:keepLines/>
              <w:spacing w:line="240" w:lineRule="auto" w:before="0" w:after="60"/>
              <w:ind w:firstLine="0" w:left="0" w:right="0"/>
              <w:jc w:val="left"/>
            </w:pPr>
            <w:r>
              <w:rPr>
                <w:rFonts w:ascii="Times New Roman" w:hAnsi="Times New Roman"/>
                <w:sz w:val="19"/>
              </w:rPr>
              <w:t xml:space="preserve">Lending institution perspective, not household</w:t>
            </w:r>
          </w:p>
        </w:tc>
      </w:tr>
    </w:tbl>
    <w:p>
      <w:pPr>
        <w:pStyle w:val="BodyText"/>
      </w:pPr>
      <w:r>
        <w:rPr>
          <w:i/>
          <w:iCs/>
        </w:rPr>
        <w:t xml:space="preserve">Table 9: Summary of income smoothing evidence from cited literature.</w:t>
      </w:r>
    </w:p>
    <w:p>
      <w:pPr>
        <w:pStyle w:val="BodyText"/>
      </w:pPr>
      <w:r>
        <w:t xml:space="preserve">What emerges from this synthesis is a conditional picture. Microfinance can support income smoothing, but its effectiveness depends on the loan use, the presence of complementary services, and the financial health of the lending institution. The evidence is strongest for asset-building loans and weakest for consumption smoothing in contexts where households face repeated shocks. This conditionality points toward the need for a more nuanced framework, one that accounts for both household-level and institutional-level factors.</w:t>
      </w:r>
    </w:p>
    <w:bookmarkEnd w:id="40"/>
    <w:bookmarkStart w:id="41" w:name="X98997134012ecd8b506a387c89a5303ec38f86b"/>
    <w:p>
      <w:pPr>
        <w:pStyle w:val="Heading3"/>
      </w:pPr>
      <w:r>
        <w:t xml:space="preserve">2.3.2 Synthesis Across Women’s Empowerment Studies</w:t>
      </w:r>
    </w:p>
    <w:p>
      <w:pPr>
        <w:pStyle w:val="FirstParagraph"/>
      </w:pPr>
      <w:r>
        <w:t xml:space="preserve">Turning to the second thematic area, the literature on microfinance and women’s empowerment reveals an even more contested evidence base. Proponents argue that targeting women as borrowers enhances their decision-making power within the household, while critics point to increased domestic tension and loan control by male relatives.</w:t>
      </w:r>
    </w:p>
    <w:p>
      <w:pPr>
        <w:pStyle w:val="BodyText"/>
      </w:pPr>
      <w:r>
        <w:rPr>
          <w:b/>
          <w:bCs/>
        </w:rPr>
        <w:t xml:space="preserve">Decision-making power and its measurement.</w:t>
      </w:r>
      <w:r>
        <w:t xml:space="preserve"> </w:t>
      </w:r>
      <w:r>
        <w:t xml:space="preserve">Murshid (2018) provides one of the more rigorous assessments, using data from Bangladesh to examine the relationship between microfinance participation and women’s decision-making power across multiple domains--household spending, children’s education, health care, and mobility. The study finds a positive association, but the effect size varies by domain and is strongest for decisions related to small household purchases. For major decisions such as land sales or large investments, the effect is negligible. This suggests that microfinance may empower women in narrow, day-to-day economic spheres while leaving deeper structural inequalities intact.</w:t>
      </w:r>
    </w:p>
    <w:p>
      <w:pPr>
        <w:pStyle w:val="BodyText"/>
      </w:pPr>
      <w:r>
        <w:rPr>
          <w:b/>
          <w:bCs/>
        </w:rPr>
        <w:t xml:space="preserve">Qualitative insights from South Africa.</w:t>
      </w:r>
      <w:r>
        <w:t xml:space="preserve"> </w:t>
      </w:r>
      <w:r>
        <w:t xml:space="preserve">Mafukata (2022) offers a complementary perspective through in-depth interviews with rural women entrepreneurs in the Vhembe District of South Africa. The study reveals that microfinance adoption is embedded in complex social relations. Women reported increased economic activity but also described heightened obligations to share income with extended family, undermining the intended empowerment effect. Social capital, which is often cited as a benefit of group lending, can become a burden when group solidarity translates into demands for redistribution. The study emphasizes that empowerment is not simply a function of credit access; it requires supportive institutional design and attention to local gender norms.</w:t>
      </w:r>
    </w:p>
    <w:p>
      <w:pPr>
        <w:pStyle w:val="BodyText"/>
      </w:pPr>
      <w:r>
        <w:rPr>
          <w:b/>
          <w:bCs/>
        </w:rPr>
        <w:t xml:space="preserve">Entrepreneurship and risk-taking.</w:t>
      </w:r>
      <w:r>
        <w:t xml:space="preserve"> </w:t>
      </w:r>
      <w:r>
        <w:t xml:space="preserve">Ghosh and Bhandari (2013) assess microfinance’s role in fostering rural entrepreneurship. Their findings indicate that access to credit enables women to start or expand microenterprises, but the sustainability of these businesses is limited by market access, skill gaps, and the small size of loans. Women who borrowed for enterprise creation reported higher household income, but the effect was often insufficient to lift the household above the poverty line. The implication is that empowerment through entrepreneurship demands more than credit--it requires training, market linkages, and ongoing mentorship.</w:t>
      </w:r>
    </w:p>
    <w:p>
      <w:pPr>
        <w:pStyle w:val="BodyText"/>
      </w:pPr>
      <w:r>
        <w:rPr>
          <w:b/>
          <w:bCs/>
        </w:rPr>
        <w:t xml:space="preserve">Intra-household dynamics and conflict.</w:t>
      </w:r>
      <w:r>
        <w:t xml:space="preserve"> </w:t>
      </w:r>
      <w:r>
        <w:t xml:space="preserve">A darker pattern emerges from studies that examine intra-household dynamics. Aktaruzzaman and Guha-Khasnobis (2012) use a regression discontinuity approach to examine the link between microfinance participation and domestic violence. Their findings suggest that women who take loans without their husbands’ approval face an elevated risk of violence--a finding that challenges the simplistic narrative of microfinance as an unqualified tool for empowerment. While this study is from a background-only role in the citation database, its findings are consistent with qualitative evidence from South Asia that where gender norms are deeply patriarchal, credit can destabilise household power relations in harmful ways.</w:t>
      </w:r>
    </w:p>
    <w:p>
      <w:pPr>
        <w:pStyle w:val="BodyText"/>
      </w:pPr>
      <w:r>
        <w:rPr>
          <w:b/>
          <w:bCs/>
        </w:rPr>
        <w:t xml:space="preserve">Table 10: Synthesis of Women’s Empowerment Studies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660"/>
        <w:gridCol w:w="1377"/>
        <w:gridCol w:w="2660"/>
        <w:gridCol w:w="2660"/>
      </w:tblGrid>
      <w:tr>
        <w:trPr>
          <w:tblHeader w:val="on"/>
        </w:trPr>
        <w:tc>
          <w:tcPr>
            <w:tcW w:w="266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Study &amp; Region</w:t>
            </w:r>
          </w:p>
        </w:tc>
        <w:tc>
          <w:tcPr>
            <w:tcW w:w="137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Empowerment Domain</w:t>
            </w:r>
          </w:p>
        </w:tc>
        <w:tc>
          <w:tcPr>
            <w:tcW w:w="266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Reported Effect</w:t>
            </w:r>
          </w:p>
        </w:tc>
        <w:tc>
          <w:tcPr>
            <w:tcW w:w="266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Key Caveat</w:t>
            </w:r>
          </w:p>
        </w:tc>
      </w:tr>
      <w:tr>
        <w:tc>
          <w:tcPr>
            <w:tcW w:w="2660" w:type="dxa"/>
          </w:tcPr>
          <w:p>
            <w:pPr>
              <w:pStyle w:val="Compact"/>
              <w:keepLines/>
              <w:spacing w:line="240" w:lineRule="auto" w:before="0" w:after="60"/>
              <w:ind w:firstLine="0" w:left="0" w:right="0"/>
              <w:jc w:val="left"/>
            </w:pPr>
            <w:r>
              <w:rPr>
                <w:rFonts w:ascii="Times New Roman" w:hAnsi="Times New Roman"/>
                <w:sz w:val="19"/>
              </w:rPr>
              <w:t xml:space="preserve">Murshid (2018) (Bangladesh)</w:t>
            </w:r>
          </w:p>
        </w:tc>
        <w:tc>
          <w:tcPr>
            <w:tcW w:w="1377" w:type="dxa"/>
          </w:tcPr>
          <w:p>
            <w:pPr>
              <w:pStyle w:val="Compact"/>
              <w:keepLines/>
              <w:spacing w:line="240" w:lineRule="auto" w:before="0" w:after="60"/>
              <w:ind w:firstLine="0" w:left="0" w:right="0"/>
              <w:jc w:val="left"/>
            </w:pPr>
            <w:r>
              <w:rPr>
                <w:rFonts w:ascii="Times New Roman" w:hAnsi="Times New Roman"/>
                <w:sz w:val="19"/>
              </w:rPr>
              <w:t xml:space="preserve">Household decision-making</w:t>
            </w:r>
          </w:p>
        </w:tc>
        <w:tc>
          <w:tcPr>
            <w:tcW w:w="2660" w:type="dxa"/>
          </w:tcPr>
          <w:p>
            <w:pPr>
              <w:pStyle w:val="Compact"/>
              <w:keepLines/>
              <w:spacing w:line="240" w:lineRule="auto" w:before="0" w:after="60"/>
              <w:ind w:firstLine="0" w:left="0" w:right="0"/>
              <w:jc w:val="left"/>
            </w:pPr>
            <w:r>
              <w:rPr>
                <w:rFonts w:ascii="Times New Roman" w:hAnsi="Times New Roman"/>
                <w:sz w:val="19"/>
              </w:rPr>
              <w:t xml:space="preserve">Positive for small purchases; weak for major decisions</w:t>
            </w:r>
          </w:p>
        </w:tc>
        <w:tc>
          <w:tcPr>
            <w:tcW w:w="2660" w:type="dxa"/>
          </w:tcPr>
          <w:p>
            <w:pPr>
              <w:pStyle w:val="Compact"/>
              <w:keepLines/>
              <w:spacing w:line="240" w:lineRule="auto" w:before="0" w:after="60"/>
              <w:ind w:firstLine="0" w:left="0" w:right="0"/>
              <w:jc w:val="left"/>
            </w:pPr>
            <w:r>
              <w:rPr>
                <w:rFonts w:ascii="Times New Roman" w:hAnsi="Times New Roman"/>
                <w:sz w:val="19"/>
              </w:rPr>
              <w:t xml:space="preserve">Effect varies by domain; structural inequality persists</w:t>
            </w:r>
          </w:p>
        </w:tc>
      </w:tr>
      <w:tr>
        <w:tc>
          <w:tcPr>
            <w:tcW w:w="2660" w:type="dxa"/>
          </w:tcPr>
          <w:p>
            <w:pPr>
              <w:pStyle w:val="Compact"/>
              <w:keepLines/>
              <w:spacing w:line="240" w:lineRule="auto" w:before="0" w:after="60"/>
              <w:ind w:firstLine="0" w:left="0" w:right="0"/>
              <w:jc w:val="left"/>
            </w:pPr>
            <w:r>
              <w:rPr>
                <w:rFonts w:ascii="Times New Roman" w:hAnsi="Times New Roman"/>
                <w:sz w:val="19"/>
              </w:rPr>
              <w:t xml:space="preserve">Mafukata (2022) (South Africa)</w:t>
            </w:r>
          </w:p>
        </w:tc>
        <w:tc>
          <w:tcPr>
            <w:tcW w:w="1377" w:type="dxa"/>
          </w:tcPr>
          <w:p>
            <w:pPr>
              <w:pStyle w:val="Compact"/>
              <w:keepLines/>
              <w:spacing w:line="240" w:lineRule="auto" w:before="0" w:after="60"/>
              <w:ind w:firstLine="0" w:left="0" w:right="0"/>
              <w:jc w:val="left"/>
            </w:pPr>
            <w:r>
              <w:rPr>
                <w:rFonts w:ascii="Times New Roman" w:hAnsi="Times New Roman"/>
                <w:sz w:val="19"/>
              </w:rPr>
              <w:t xml:space="preserve">Economic participation</w:t>
            </w:r>
          </w:p>
        </w:tc>
        <w:tc>
          <w:tcPr>
            <w:tcW w:w="2660" w:type="dxa"/>
          </w:tcPr>
          <w:p>
            <w:pPr>
              <w:pStyle w:val="Compact"/>
              <w:keepLines/>
              <w:spacing w:line="240" w:lineRule="auto" w:before="0" w:after="60"/>
              <w:ind w:firstLine="0" w:left="0" w:right="0"/>
              <w:jc w:val="left"/>
            </w:pPr>
            <w:r>
              <w:rPr>
                <w:rFonts w:ascii="Times New Roman" w:hAnsi="Times New Roman"/>
                <w:sz w:val="19"/>
              </w:rPr>
              <w:t xml:space="preserve">Mixed: increased activity but social obligations reduce impact</w:t>
            </w:r>
          </w:p>
        </w:tc>
        <w:tc>
          <w:tcPr>
            <w:tcW w:w="2660" w:type="dxa"/>
          </w:tcPr>
          <w:p>
            <w:pPr>
              <w:pStyle w:val="Compact"/>
              <w:keepLines/>
              <w:spacing w:line="240" w:lineRule="auto" w:before="0" w:after="60"/>
              <w:ind w:firstLine="0" w:left="0" w:right="0"/>
              <w:jc w:val="left"/>
            </w:pPr>
            <w:r>
              <w:rPr>
                <w:rFonts w:ascii="Times New Roman" w:hAnsi="Times New Roman"/>
                <w:sz w:val="19"/>
              </w:rPr>
              <w:t xml:space="preserve">Group solidarity can create redistribution demands</w:t>
            </w:r>
          </w:p>
        </w:tc>
      </w:tr>
      <w:tr>
        <w:tc>
          <w:tcPr>
            <w:tcW w:w="2660" w:type="dxa"/>
          </w:tcPr>
          <w:p>
            <w:pPr>
              <w:pStyle w:val="Compact"/>
              <w:keepLines/>
              <w:spacing w:line="240" w:lineRule="auto" w:before="0" w:after="60"/>
              <w:ind w:firstLine="0" w:left="0" w:right="0"/>
              <w:jc w:val="left"/>
            </w:pPr>
            <w:r>
              <w:rPr>
                <w:rFonts w:ascii="Times New Roman" w:hAnsi="Times New Roman"/>
                <w:sz w:val="19"/>
              </w:rPr>
              <w:t xml:space="preserve">Ghosh &amp; Bhandari (Ghosh &amp; Bhandari, 2013) (India)</w:t>
            </w:r>
          </w:p>
        </w:tc>
        <w:tc>
          <w:tcPr>
            <w:tcW w:w="1377" w:type="dxa"/>
          </w:tcPr>
          <w:p>
            <w:pPr>
              <w:pStyle w:val="Compact"/>
              <w:keepLines/>
              <w:spacing w:line="240" w:lineRule="auto" w:before="0" w:after="60"/>
              <w:ind w:firstLine="0" w:left="0" w:right="0"/>
              <w:jc w:val="left"/>
            </w:pPr>
            <w:r>
              <w:rPr>
                <w:rFonts w:ascii="Times New Roman" w:hAnsi="Times New Roman"/>
                <w:sz w:val="19"/>
              </w:rPr>
              <w:t xml:space="preserve">Entrepreneurship</w:t>
            </w:r>
          </w:p>
        </w:tc>
        <w:tc>
          <w:tcPr>
            <w:tcW w:w="2660" w:type="dxa"/>
          </w:tcPr>
          <w:p>
            <w:pPr>
              <w:pStyle w:val="Compact"/>
              <w:keepLines/>
              <w:spacing w:line="240" w:lineRule="auto" w:before="0" w:after="60"/>
              <w:ind w:firstLine="0" w:left="0" w:right="0"/>
              <w:jc w:val="left"/>
            </w:pPr>
            <w:r>
              <w:rPr>
                <w:rFonts w:ascii="Times New Roman" w:hAnsi="Times New Roman"/>
                <w:sz w:val="19"/>
              </w:rPr>
              <w:t xml:space="preserve">Positive but limited: income gains modest</w:t>
            </w:r>
          </w:p>
        </w:tc>
        <w:tc>
          <w:tcPr>
            <w:tcW w:w="2660" w:type="dxa"/>
          </w:tcPr>
          <w:p>
            <w:pPr>
              <w:pStyle w:val="Compact"/>
              <w:keepLines/>
              <w:spacing w:line="240" w:lineRule="auto" w:before="0" w:after="60"/>
              <w:ind w:firstLine="0" w:left="0" w:right="0"/>
              <w:jc w:val="left"/>
            </w:pPr>
            <w:r>
              <w:rPr>
                <w:rFonts w:ascii="Times New Roman" w:hAnsi="Times New Roman"/>
                <w:sz w:val="19"/>
              </w:rPr>
              <w:t xml:space="preserve">Requires training, market access, larger loans</w:t>
            </w:r>
          </w:p>
        </w:tc>
      </w:tr>
      <w:tr>
        <w:tc>
          <w:tcPr>
            <w:tcW w:w="2660" w:type="dxa"/>
          </w:tcPr>
          <w:p>
            <w:pPr>
              <w:pStyle w:val="Compact"/>
              <w:keepLines/>
              <w:spacing w:line="240" w:lineRule="auto" w:before="0" w:after="60"/>
              <w:ind w:firstLine="0" w:left="0" w:right="0"/>
              <w:jc w:val="left"/>
            </w:pPr>
            <w:r>
              <w:rPr>
                <w:rFonts w:ascii="Times New Roman" w:hAnsi="Times New Roman"/>
                <w:sz w:val="19"/>
              </w:rPr>
              <w:t xml:space="preserve">Aktaruzzaman &amp; Guha-Khasnobis (Aktaruzzaman &amp; Guha-Khasnobis, 2012) (Bangladesh)</w:t>
            </w:r>
          </w:p>
        </w:tc>
        <w:tc>
          <w:tcPr>
            <w:tcW w:w="1377" w:type="dxa"/>
          </w:tcPr>
          <w:p>
            <w:pPr>
              <w:pStyle w:val="Compact"/>
              <w:keepLines/>
              <w:spacing w:line="240" w:lineRule="auto" w:before="0" w:after="60"/>
              <w:ind w:firstLine="0" w:left="0" w:right="0"/>
              <w:jc w:val="left"/>
            </w:pPr>
            <w:r>
              <w:rPr>
                <w:rFonts w:ascii="Times New Roman" w:hAnsi="Times New Roman"/>
                <w:sz w:val="19"/>
              </w:rPr>
              <w:t xml:space="preserve">Domestic tension/violence</w:t>
            </w:r>
          </w:p>
        </w:tc>
        <w:tc>
          <w:tcPr>
            <w:tcW w:w="2660" w:type="dxa"/>
          </w:tcPr>
          <w:p>
            <w:pPr>
              <w:pStyle w:val="Compact"/>
              <w:keepLines/>
              <w:spacing w:line="240" w:lineRule="auto" w:before="0" w:after="60"/>
              <w:ind w:firstLine="0" w:left="0" w:right="0"/>
              <w:jc w:val="left"/>
            </w:pPr>
            <w:r>
              <w:rPr>
                <w:rFonts w:ascii="Times New Roman" w:hAnsi="Times New Roman"/>
                <w:sz w:val="19"/>
              </w:rPr>
              <w:t xml:space="preserve">Elevated risk when loans not approved by husband</w:t>
            </w:r>
          </w:p>
        </w:tc>
        <w:tc>
          <w:tcPr>
            <w:tcW w:w="2660" w:type="dxa"/>
          </w:tcPr>
          <w:p>
            <w:pPr>
              <w:pStyle w:val="Compact"/>
              <w:keepLines/>
              <w:spacing w:line="240" w:lineRule="auto" w:before="0" w:after="60"/>
              <w:ind w:firstLine="0" w:left="0" w:right="0"/>
              <w:jc w:val="left"/>
            </w:pPr>
            <w:r>
              <w:rPr>
                <w:rFonts w:ascii="Times New Roman" w:hAnsi="Times New Roman"/>
                <w:sz w:val="19"/>
              </w:rPr>
              <w:t xml:space="preserve">Background study; correlational design</w:t>
            </w:r>
          </w:p>
        </w:tc>
      </w:tr>
    </w:tbl>
    <w:p>
      <w:pPr>
        <w:pStyle w:val="BodyText"/>
      </w:pPr>
      <w:r>
        <w:rPr>
          <w:i/>
          <w:iCs/>
        </w:rPr>
        <w:t xml:space="preserve">Table 11: Synthesis of findings on microfinance and women’s empowerment.</w:t>
      </w:r>
    </w:p>
    <w:p>
      <w:pPr>
        <w:pStyle w:val="BodyText"/>
      </w:pPr>
      <w:r>
        <w:t xml:space="preserve">When these findings are synthesised, a clear pattern emerges: microfinance can contribute to incremental improvements in women’s economic agency, but the effect is conditional on the social context, the loan use, and the institutional design of the programme. The most optimistic findings come from studies that focus on small, frequent economic decisions. The most cautionary findings highlight the risk of intra-household conflict. This tension suggests that empowerment cannot be treated as a uniform outcome of microfinance--it must be disaggregated by the type of decision, the household power structure, and the programme’s complementary services.</w:t>
      </w:r>
    </w:p>
    <w:bookmarkEnd w:id="41"/>
    <w:bookmarkStart w:id="42" w:name="synthesis-across-shock-coping-studies"/>
    <w:p>
      <w:pPr>
        <w:pStyle w:val="Heading3"/>
      </w:pPr>
      <w:r>
        <w:t xml:space="preserve">2.3.3 Synthesis Across Shock Coping Studies</w:t>
      </w:r>
    </w:p>
    <w:p>
      <w:pPr>
        <w:pStyle w:val="FirstParagraph"/>
      </w:pPr>
      <w:r>
        <w:t xml:space="preserve">The capacity to withstand and recover from shocks--whether health crises, natural disasters, or economic downturns--is a central component of household resilience. The literature on microfinance and shock coping addresses both ex-ante risk management (precautionary savings, insurance) and ex-post coping (borrowing, asset sales, migration).</w:t>
      </w:r>
    </w:p>
    <w:p>
      <w:pPr>
        <w:pStyle w:val="BodyText"/>
      </w:pPr>
      <w:r>
        <w:rPr>
          <w:b/>
          <w:bCs/>
        </w:rPr>
        <w:t xml:space="preserve">Microinsurance complementarity.</w:t>
      </w:r>
      <w:r>
        <w:t xml:space="preserve"> </w:t>
      </w:r>
      <w:r>
        <w:t xml:space="preserve">ADHIKARI, ADHIKARI, and DHUNGANA (ADHIKARI et al., 2026) examine microinsurance adoption and its effect on financial resilience in developing countries. Their study is among the few to treat microfinance and microinsurance as complementary rather than competing instruments. The findings indicate that households with access to both credit and insurance are notably less likely to resort to distress sales of productive assets following an income shock. However, the take-up of microinsurance remains low, often below 15% of eligible households, due to premium costs, limited understanding, and mistrust of insurance products. For rural South Asia, where informal risk-sharing networks (e.g. extended family, village savings groups) already operate, the added value of formal microinsurance must be clearly indicated.</w:t>
      </w:r>
    </w:p>
    <w:p>
      <w:pPr>
        <w:pStyle w:val="BodyText"/>
      </w:pPr>
      <w:r>
        <w:rPr>
          <w:b/>
          <w:bCs/>
        </w:rPr>
        <w:t xml:space="preserve">Crisis response and institutional resilience.</w:t>
      </w:r>
      <w:r>
        <w:t xml:space="preserve"> </w:t>
      </w:r>
      <w:r>
        <w:t xml:space="preserve">Toth (2020) provides a case study from Myanmar during the COVID-19 economic crisis. The analysis shows that the microfinance sector played a critical role in maintaining food security and supporting economic recovery, despite facing its own operational challenges. MFIs that offered loan moratoria, restructuring options, and quick disbursals of new credit helped households avoid deeper shocks. However, the study also highlights the fragility of the microfinance model in a systemic crisis: when large numbers of borrowers simultaneously default, MFIs’ own financial viability is threatened. This echoes the institutional resilience point raised by Singkhala (SINGKHALA, 2025): the household’s ability to cope depends on the MFI’s ability to remain solvent and continue lending.</w:t>
      </w:r>
    </w:p>
    <w:p>
      <w:pPr>
        <w:pStyle w:val="BodyText"/>
      </w:pPr>
      <w:r>
        <w:rPr>
          <w:b/>
          <w:bCs/>
        </w:rPr>
        <w:t xml:space="preserve">Environmental shocks and historical parallels.</w:t>
      </w:r>
      <w:r>
        <w:t xml:space="preserve"> </w:t>
      </w:r>
      <w:r>
        <w:t xml:space="preserve">Goodspeed (2018) draws on historical data from the Great Famine of Ireland to examine how environmental shocks affect microfinance sustainability. While the context is far removed from contemporary South Asia, the study’s comparative lens is valuable. It suggests that microfinance institutions that are tightly integrated into local agricultural cycles are especially vulnerable to covariate shocks--those that affect all borrowers simultaneously. For South Asia, where monsoon failures and floods are recurring threats, this finding implies that portfolios concentrated in agricultural lending need diversification or explicit weather-indexed products to remain resilient.</w:t>
      </w:r>
    </w:p>
    <w:p>
      <w:pPr>
        <w:pStyle w:val="BodyText"/>
      </w:pPr>
      <w:r>
        <w:rPr>
          <w:b/>
          <w:bCs/>
        </w:rPr>
        <w:t xml:space="preserve">Savings and credit as coping tools.</w:t>
      </w:r>
      <w:r>
        <w:t xml:space="preserve"> </w:t>
      </w:r>
      <w:r>
        <w:t xml:space="preserve">Ansar, Hess, and Klapper (Ansar et al., 2023) discuss how savings and credit contribute to resilience in emergencies. Their review of global evidence concludes that access to formal savings accounts--separate from credit--is perhaps more important than credit itself for coping with common shocks. Households that can draw on savings do not need to take on additional debt that creates future repayment burdens. This distinction is relevant for microfinance programmes that emphasise lending but often neglect savings services. In South Asia, where many microfinance clients are also members of rotating savings groups (ROSCAs), integrating savings with credit could strengthen shock coping capacity.</w:t>
      </w:r>
    </w:p>
    <w:p>
      <w:pPr>
        <w:pStyle w:val="BodyText"/>
      </w:pPr>
      <w:r>
        <w:rPr>
          <w:b/>
          <w:bCs/>
        </w:rPr>
        <w:t xml:space="preserve">Table 12: Synthesis of Shock Coping Studies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704"/>
        <w:gridCol w:w="1310"/>
        <w:gridCol w:w="2641"/>
        <w:gridCol w:w="2705"/>
      </w:tblGrid>
      <w:tr>
        <w:trPr>
          <w:tblHeader w:val="on"/>
        </w:trPr>
        <w:tc>
          <w:tcPr>
            <w:tcW w:w="270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Study &amp; Focus</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Shock Type</w:t>
            </w:r>
          </w:p>
        </w:tc>
        <w:tc>
          <w:tcPr>
            <w:tcW w:w="264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Key Finding</w:t>
            </w:r>
          </w:p>
        </w:tc>
        <w:tc>
          <w:tcPr>
            <w:tcW w:w="270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Implication for South Asia</w:t>
            </w:r>
          </w:p>
        </w:tc>
      </w:tr>
      <w:tr>
        <w:tc>
          <w:tcPr>
            <w:tcW w:w="2704" w:type="dxa"/>
          </w:tcPr>
          <w:p>
            <w:pPr>
              <w:pStyle w:val="Compact"/>
              <w:keepLines/>
              <w:spacing w:line="240" w:lineRule="auto" w:before="0" w:after="60"/>
              <w:ind w:firstLine="0" w:left="0" w:right="0"/>
              <w:jc w:val="left"/>
            </w:pPr>
            <w:r>
              <w:rPr>
                <w:rFonts w:ascii="Times New Roman" w:hAnsi="Times New Roman"/>
                <w:sz w:val="19"/>
              </w:rPr>
              <w:t xml:space="preserve">ADHIKARI et al. (ADHIKARI et al., 2026) (multiple countries)</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Income shocks</w:t>
            </w:r>
          </w:p>
        </w:tc>
        <w:tc>
          <w:tcPr>
            <w:tcW w:w="2641" w:type="dxa"/>
          </w:tcPr>
          <w:p>
            <w:pPr>
              <w:pStyle w:val="Compact"/>
              <w:keepLines/>
              <w:spacing w:line="240" w:lineRule="auto" w:before="0" w:after="60"/>
              <w:ind w:firstLine="0" w:left="0" w:right="0"/>
              <w:jc w:val="left"/>
            </w:pPr>
            <w:r>
              <w:rPr>
                <w:rFonts w:ascii="Times New Roman" w:hAnsi="Times New Roman"/>
                <w:sz w:val="19"/>
              </w:rPr>
              <w:t xml:space="preserve">Microinsurance reduces distress asset sales</w:t>
            </w:r>
          </w:p>
        </w:tc>
        <w:tc>
          <w:tcPr>
            <w:tcW w:w="2705" w:type="dxa"/>
          </w:tcPr>
          <w:p>
            <w:pPr>
              <w:pStyle w:val="Compact"/>
              <w:keepLines/>
              <w:spacing w:line="240" w:lineRule="auto" w:before="0" w:after="60"/>
              <w:ind w:firstLine="0" w:left="0" w:right="0"/>
              <w:jc w:val="left"/>
            </w:pPr>
            <w:r>
              <w:rPr>
                <w:rFonts w:ascii="Times New Roman" w:hAnsi="Times New Roman"/>
                <w:sz w:val="19"/>
              </w:rPr>
              <w:t xml:space="preserve">Low uptake; need education and trust-building</w:t>
            </w:r>
          </w:p>
        </w:tc>
      </w:tr>
      <w:tr>
        <w:tc>
          <w:tcPr>
            <w:tcW w:w="2704" w:type="dxa"/>
          </w:tcPr>
          <w:p>
            <w:pPr>
              <w:pStyle w:val="Compact"/>
              <w:keepLines/>
              <w:spacing w:line="240" w:lineRule="auto" w:before="0" w:after="60"/>
              <w:ind w:firstLine="0" w:left="0" w:right="0"/>
              <w:jc w:val="left"/>
            </w:pPr>
            <w:r>
              <w:rPr>
                <w:rFonts w:ascii="Times New Roman" w:hAnsi="Times New Roman"/>
                <w:sz w:val="19"/>
              </w:rPr>
              <w:t xml:space="preserve">Toth (2020) (Myanmar)</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Systemic crisis (COVID-19)</w:t>
            </w:r>
          </w:p>
        </w:tc>
        <w:tc>
          <w:tcPr>
            <w:tcW w:w="2641" w:type="dxa"/>
          </w:tcPr>
          <w:p>
            <w:pPr>
              <w:pStyle w:val="Compact"/>
              <w:keepLines/>
              <w:spacing w:line="240" w:lineRule="auto" w:before="0" w:after="60"/>
              <w:ind w:firstLine="0" w:left="0" w:right="0"/>
              <w:jc w:val="left"/>
            </w:pPr>
            <w:r>
              <w:rPr>
                <w:rFonts w:ascii="Times New Roman" w:hAnsi="Times New Roman"/>
                <w:sz w:val="19"/>
              </w:rPr>
              <w:t xml:space="preserve">Loan moratoria and restructuring helped recovery</w:t>
            </w:r>
          </w:p>
        </w:tc>
        <w:tc>
          <w:tcPr>
            <w:tcW w:w="2705" w:type="dxa"/>
          </w:tcPr>
          <w:p>
            <w:pPr>
              <w:pStyle w:val="Compact"/>
              <w:keepLines/>
              <w:spacing w:line="240" w:lineRule="auto" w:before="0" w:after="60"/>
              <w:ind w:firstLine="0" w:left="0" w:right="0"/>
              <w:jc w:val="left"/>
            </w:pPr>
            <w:r>
              <w:rPr>
                <w:rFonts w:ascii="Times New Roman" w:hAnsi="Times New Roman"/>
                <w:sz w:val="19"/>
              </w:rPr>
              <w:t xml:space="preserve">MFI financial health is a mediating factor</w:t>
            </w:r>
          </w:p>
        </w:tc>
      </w:tr>
      <w:tr>
        <w:tc>
          <w:tcPr>
            <w:tcW w:w="2704" w:type="dxa"/>
          </w:tcPr>
          <w:p>
            <w:pPr>
              <w:pStyle w:val="Compact"/>
              <w:keepLines/>
              <w:spacing w:line="240" w:lineRule="auto" w:before="0" w:after="60"/>
              <w:ind w:firstLine="0" w:left="0" w:right="0"/>
              <w:jc w:val="left"/>
            </w:pPr>
            <w:r>
              <w:rPr>
                <w:rFonts w:ascii="Times New Roman" w:hAnsi="Times New Roman"/>
                <w:sz w:val="19"/>
              </w:rPr>
              <w:t xml:space="preserve">Goodspeed (2018) (historical, Ireland)</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Environmental (famine)</w:t>
            </w:r>
          </w:p>
        </w:tc>
        <w:tc>
          <w:tcPr>
            <w:tcW w:w="2641" w:type="dxa"/>
          </w:tcPr>
          <w:p>
            <w:pPr>
              <w:pStyle w:val="Compact"/>
              <w:keepLines/>
              <w:spacing w:line="240" w:lineRule="auto" w:before="0" w:after="60"/>
              <w:ind w:firstLine="0" w:left="0" w:right="0"/>
              <w:jc w:val="left"/>
            </w:pPr>
            <w:r>
              <w:rPr>
                <w:rFonts w:ascii="Times New Roman" w:hAnsi="Times New Roman"/>
                <w:sz w:val="19"/>
              </w:rPr>
              <w:t xml:space="preserve">Covariate risk threatens MFI viability</w:t>
            </w:r>
          </w:p>
        </w:tc>
        <w:tc>
          <w:tcPr>
            <w:tcW w:w="2705" w:type="dxa"/>
          </w:tcPr>
          <w:p>
            <w:pPr>
              <w:pStyle w:val="Compact"/>
              <w:keepLines/>
              <w:spacing w:line="240" w:lineRule="auto" w:before="0" w:after="60"/>
              <w:ind w:firstLine="0" w:left="0" w:right="0"/>
              <w:jc w:val="left"/>
            </w:pPr>
            <w:r>
              <w:rPr>
                <w:rFonts w:ascii="Times New Roman" w:hAnsi="Times New Roman"/>
                <w:sz w:val="19"/>
              </w:rPr>
              <w:t xml:space="preserve">Need diversified portfolios; weather-indexed products</w:t>
            </w:r>
          </w:p>
        </w:tc>
      </w:tr>
      <w:tr>
        <w:tc>
          <w:tcPr>
            <w:tcW w:w="2704" w:type="dxa"/>
          </w:tcPr>
          <w:p>
            <w:pPr>
              <w:pStyle w:val="Compact"/>
              <w:keepLines/>
              <w:spacing w:line="240" w:lineRule="auto" w:before="0" w:after="60"/>
              <w:ind w:firstLine="0" w:left="0" w:right="0"/>
              <w:jc w:val="left"/>
            </w:pPr>
            <w:r>
              <w:rPr>
                <w:rFonts w:ascii="Times New Roman" w:hAnsi="Times New Roman"/>
                <w:sz w:val="19"/>
              </w:rPr>
              <w:t xml:space="preserve">Ansar, Hess, Klapper (Ansar et al., 2023) (global review)</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Emergencies</w:t>
            </w:r>
          </w:p>
        </w:tc>
        <w:tc>
          <w:tcPr>
            <w:tcW w:w="2641" w:type="dxa"/>
          </w:tcPr>
          <w:p>
            <w:pPr>
              <w:pStyle w:val="Compact"/>
              <w:keepLines/>
              <w:spacing w:line="240" w:lineRule="auto" w:before="0" w:after="60"/>
              <w:ind w:firstLine="0" w:left="0" w:right="0"/>
              <w:jc w:val="left"/>
            </w:pPr>
            <w:r>
              <w:rPr>
                <w:rFonts w:ascii="Times New Roman" w:hAnsi="Times New Roman"/>
                <w:sz w:val="19"/>
              </w:rPr>
              <w:t xml:space="preserve">Savings are more important than credit for coping</w:t>
            </w:r>
          </w:p>
        </w:tc>
        <w:tc>
          <w:tcPr>
            <w:tcW w:w="2705" w:type="dxa"/>
          </w:tcPr>
          <w:p>
            <w:pPr>
              <w:pStyle w:val="Compact"/>
              <w:keepLines/>
              <w:spacing w:line="240" w:lineRule="auto" w:before="0" w:after="60"/>
              <w:ind w:firstLine="0" w:left="0" w:right="0"/>
              <w:jc w:val="left"/>
            </w:pPr>
            <w:r>
              <w:rPr>
                <w:rFonts w:ascii="Times New Roman" w:hAnsi="Times New Roman"/>
                <w:sz w:val="19"/>
              </w:rPr>
              <w:t xml:space="preserve">Integrate savings into microfinance programmes</w:t>
            </w:r>
          </w:p>
        </w:tc>
      </w:tr>
    </w:tbl>
    <w:p>
      <w:pPr>
        <w:pStyle w:val="BodyText"/>
      </w:pPr>
      <w:r>
        <w:rPr>
          <w:i/>
          <w:iCs/>
        </w:rPr>
        <w:t xml:space="preserve">Table 13: Synthesis of evidence on microfinance and shock coping.</w:t>
      </w:r>
    </w:p>
    <w:p>
      <w:pPr>
        <w:pStyle w:val="BodyText"/>
      </w:pPr>
      <w:r>
        <w:t xml:space="preserve">The synthesis across these studies reveals two overarching insights. First, the effectiveness of microfinance in shock coping depends heavily on the type of shock: idiosyncratic shocks (e.g. illness of a household member) are easier to manage through microcredit than covariate shocks that affect entire communities. Second, the institutional resilience of the MFI itself is a critical and often overlooked determinant of household-level coping. A programme that collapses during a crisis cannot serve its clients when they need it most.</w:t>
      </w:r>
    </w:p>
    <w:bookmarkEnd w:id="42"/>
    <w:bookmarkStart w:id="43" w:name="Xb3a5b2d7c944c25e2f6bf15c81a0452b75475d8"/>
    <w:p>
      <w:pPr>
        <w:pStyle w:val="Heading3"/>
      </w:pPr>
      <w:r>
        <w:t xml:space="preserve">2.3.4 Repayment Pressure as a Cross-Cutting Theme</w:t>
      </w:r>
    </w:p>
    <w:p>
      <w:pPr>
        <w:pStyle w:val="FirstParagraph"/>
      </w:pPr>
      <w:r>
        <w:t xml:space="preserve">Throughout the three thematic syntheses, one factor recurs with notable consistency: the structure and rigidity of loan repayment schedules. Repayment pressure emerges as a cross-cutting driver that can undermine the resilience that microfinance seeks to build.</w:t>
      </w:r>
    </w:p>
    <w:p>
      <w:pPr>
        <w:pStyle w:val="BodyText"/>
      </w:pPr>
      <w:r>
        <w:rPr>
          <w:b/>
          <w:bCs/>
        </w:rPr>
        <w:t xml:space="preserve">The burden of frequent repayment.</w:t>
      </w:r>
      <w:r>
        <w:t xml:space="preserve"> </w:t>
      </w:r>
      <w:r>
        <w:t xml:space="preserve">Standard microfinance models, particularly those derived from the Grameen Bank approach, require weekly or bi-weekly repayments. While these frequent instalments reduce default risk for the MFI, they impose a fixed cost on borrowers whose income streams are often irregular and seasonal. Moll (2007) observes that in rural agricultural settings, income arrives in lumps after harvests, making weekly repayments a poor fit. Households may be forced to borrow from informal moneylenders at high interest to meet their MFI instalment, thereby trading one debt burden for another. This pattern is documented qualitatively in several studies, though rigorous quantitative evidence remains scarce.</w:t>
      </w:r>
    </w:p>
    <w:p>
      <w:pPr>
        <w:pStyle w:val="BodyText"/>
      </w:pPr>
      <w:r>
        <w:rPr>
          <w:b/>
          <w:bCs/>
        </w:rPr>
        <w:t xml:space="preserve">Gender and repayment discipline.</w:t>
      </w:r>
      <w:r>
        <w:t xml:space="preserve"> </w:t>
      </w:r>
      <w:r>
        <w:t xml:space="preserve">The pressure of repayment falls disproportionately on women borrowers. Murshid (2018) notes that women are often held to stricter repayment schedules than men, partly because MFIs view them as more reliable and partly because group lending models rely on peer pressure, which can turn into community sanctions. The qualitative findings of Mafukata (2022) echo this: women described the stress of having to generate cash every week, especially during lean months. This can erode the psychological well-being that empowerment is meant to foster.</w:t>
      </w:r>
    </w:p>
    <w:p>
      <w:pPr>
        <w:pStyle w:val="BodyText"/>
      </w:pPr>
      <w:r>
        <w:rPr>
          <w:b/>
          <w:bCs/>
        </w:rPr>
        <w:t xml:space="preserve">Trade-off between discipline and flexibility.</w:t>
      </w:r>
      <w:r>
        <w:t xml:space="preserve"> </w:t>
      </w:r>
      <w:r>
        <w:t xml:space="preserve">Karim (2011) offers a critical perspective, arguing that the disciplinary mechanisms of microfinance--frequent repayment, group monitoring, compulsory savings--function as a form of “governmentality” that shapes borrowers’ behaviour rather than liberating them. While this perspective is more theoretical than empirical, it raises an important question: at what point does the structure of flexible credit become a rigidity that undermines resilience? The evidence from the synthesis suggests that programmes with rigid repayment demands perform less well in building long-term resilience than programmes that offer grace periods, flexible instalments, or repayment holidays linked to harvest cycles.</w:t>
      </w:r>
    </w:p>
    <w:p>
      <w:pPr>
        <w:pStyle w:val="BodyText"/>
      </w:pPr>
      <w:r>
        <w:rPr>
          <w:b/>
          <w:bCs/>
        </w:rPr>
        <w:t xml:space="preserve">Institutional design as moderator.</w:t>
      </w:r>
      <w:r>
        <w:t xml:space="preserve"> </w:t>
      </w:r>
      <w:r>
        <w:t xml:space="preserve">Tang, Bani, Ibrahim et al. (Tang et al., 2026) examine how ICT adoption and governance affect MFI efficiency in South Asia. Their analysis of 182 MFIs suggests that well-governed institutions that use technology to tailor loan products--including flexible repayment options--achieve better dual performance (financial sustainability plus social outreach). This finding implies that repayment pressure is not an inherent feature of microfinance but can be mitigated through institutional innovation. Similarly, Collier et al. (Collier et al., 2012) find that health-focused microfinance programmes that incorporate education components may reduce the negative effects of repayment pressure by enhancing borrowers’ long-term income-generating capacity.</w:t>
      </w:r>
    </w:p>
    <w:p>
      <w:pPr>
        <w:pStyle w:val="BodyText"/>
      </w:pPr>
      <w:r>
        <w:rPr>
          <w:b/>
          <w:bCs/>
        </w:rPr>
        <w:t xml:space="preserve">Table 14: Repayment Pressure Effects Across Studies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2720"/>
        <w:gridCol w:w="2609"/>
        <w:gridCol w:w="2721"/>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Thematic Area</w:t>
            </w:r>
          </w:p>
        </w:tc>
        <w:tc>
          <w:tcPr>
            <w:tcW w:w="272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How Repayment Manifests</w:t>
            </w:r>
          </w:p>
        </w:tc>
        <w:tc>
          <w:tcPr>
            <w:tcW w:w="260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Evidence from Literature</w:t>
            </w:r>
          </w:p>
        </w:tc>
        <w:tc>
          <w:tcPr>
            <w:tcW w:w="272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Potential Mitigation</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Income smoothing</w:t>
            </w:r>
          </w:p>
        </w:tc>
        <w:tc>
          <w:tcPr>
            <w:tcW w:w="2720" w:type="dxa"/>
          </w:tcPr>
          <w:p>
            <w:pPr>
              <w:pStyle w:val="Compact"/>
              <w:keepLines/>
              <w:spacing w:line="240" w:lineRule="auto" w:before="0" w:after="60"/>
              <w:ind w:firstLine="0" w:left="0" w:right="0"/>
              <w:jc w:val="left"/>
            </w:pPr>
            <w:r>
              <w:rPr>
                <w:rFonts w:ascii="Times New Roman" w:hAnsi="Times New Roman"/>
                <w:sz w:val="19"/>
              </w:rPr>
              <w:t xml:space="preserve">Weekly repayments force distress sales of assets</w:t>
            </w:r>
          </w:p>
        </w:tc>
        <w:tc>
          <w:tcPr>
            <w:tcW w:w="2609" w:type="dxa"/>
          </w:tcPr>
          <w:p>
            <w:pPr>
              <w:pStyle w:val="Compact"/>
              <w:keepLines/>
              <w:spacing w:line="240" w:lineRule="auto" w:before="0" w:after="60"/>
              <w:ind w:firstLine="0" w:left="0" w:right="0"/>
              <w:jc w:val="left"/>
            </w:pPr>
            <w:r>
              <w:rPr>
                <w:rFonts w:ascii="Times New Roman" w:hAnsi="Times New Roman"/>
                <w:sz w:val="19"/>
              </w:rPr>
              <w:t xml:space="preserve">Moll (2007); Yap (2008)</w:t>
            </w:r>
          </w:p>
        </w:tc>
        <w:tc>
          <w:tcPr>
            <w:tcW w:w="2721" w:type="dxa"/>
          </w:tcPr>
          <w:p>
            <w:pPr>
              <w:pStyle w:val="Compact"/>
              <w:keepLines/>
              <w:spacing w:line="240" w:lineRule="auto" w:before="0" w:after="60"/>
              <w:ind w:firstLine="0" w:left="0" w:right="0"/>
              <w:jc w:val="left"/>
            </w:pPr>
            <w:r>
              <w:rPr>
                <w:rFonts w:ascii="Times New Roman" w:hAnsi="Times New Roman"/>
                <w:sz w:val="19"/>
              </w:rPr>
              <w:t xml:space="preserve">Flexible repayment linked to seasonal income; grace periods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Women’s empowerment</w:t>
            </w:r>
          </w:p>
        </w:tc>
        <w:tc>
          <w:tcPr>
            <w:tcW w:w="2720" w:type="dxa"/>
          </w:tcPr>
          <w:p>
            <w:pPr>
              <w:pStyle w:val="Compact"/>
              <w:keepLines/>
              <w:spacing w:line="240" w:lineRule="auto" w:before="0" w:after="60"/>
              <w:ind w:firstLine="0" w:left="0" w:right="0"/>
              <w:jc w:val="left"/>
            </w:pPr>
            <w:r>
              <w:rPr>
                <w:rFonts w:ascii="Times New Roman" w:hAnsi="Times New Roman"/>
                <w:sz w:val="19"/>
              </w:rPr>
              <w:t xml:space="preserve">Strict discipline increases intra-household tension; women bear stress</w:t>
            </w:r>
          </w:p>
        </w:tc>
        <w:tc>
          <w:tcPr>
            <w:tcW w:w="2609" w:type="dxa"/>
          </w:tcPr>
          <w:p>
            <w:pPr>
              <w:pStyle w:val="Compact"/>
              <w:keepLines/>
              <w:spacing w:line="240" w:lineRule="auto" w:before="0" w:after="60"/>
              <w:ind w:firstLine="0" w:left="0" w:right="0"/>
              <w:jc w:val="left"/>
            </w:pPr>
            <w:r>
              <w:rPr>
                <w:rFonts w:ascii="Times New Roman" w:hAnsi="Times New Roman"/>
                <w:sz w:val="19"/>
              </w:rPr>
              <w:t xml:space="preserve">Murshid (2018); Mafukata (2022)</w:t>
            </w:r>
          </w:p>
        </w:tc>
        <w:tc>
          <w:tcPr>
            <w:tcW w:w="2721" w:type="dxa"/>
          </w:tcPr>
          <w:p>
            <w:pPr>
              <w:pStyle w:val="Compact"/>
              <w:keepLines/>
              <w:spacing w:line="240" w:lineRule="auto" w:before="0" w:after="60"/>
              <w:ind w:firstLine="0" w:left="0" w:right="0"/>
              <w:jc w:val="left"/>
            </w:pPr>
            <w:r>
              <w:rPr>
                <w:rFonts w:ascii="Times New Roman" w:hAnsi="Times New Roman"/>
                <w:sz w:val="19"/>
              </w:rPr>
              <w:t xml:space="preserve">Gender-sensitive loan design; male engagement sessions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Shock coping</w:t>
            </w:r>
          </w:p>
        </w:tc>
        <w:tc>
          <w:tcPr>
            <w:tcW w:w="2720" w:type="dxa"/>
          </w:tcPr>
          <w:p>
            <w:pPr>
              <w:pStyle w:val="Compact"/>
              <w:keepLines/>
              <w:spacing w:line="240" w:lineRule="auto" w:before="0" w:after="60"/>
              <w:ind w:firstLine="0" w:left="0" w:right="0"/>
              <w:jc w:val="left"/>
            </w:pPr>
            <w:r>
              <w:rPr>
                <w:rFonts w:ascii="Times New Roman" w:hAnsi="Times New Roman"/>
                <w:sz w:val="19"/>
              </w:rPr>
              <w:t xml:space="preserve">During crises, fixed repayment reduces available cash; leads to default</w:t>
            </w:r>
          </w:p>
        </w:tc>
        <w:tc>
          <w:tcPr>
            <w:tcW w:w="2609" w:type="dxa"/>
          </w:tcPr>
          <w:p>
            <w:pPr>
              <w:pStyle w:val="Compact"/>
              <w:keepLines/>
              <w:spacing w:line="240" w:lineRule="auto" w:before="0" w:after="60"/>
              <w:ind w:firstLine="0" w:left="0" w:right="0"/>
              <w:jc w:val="left"/>
            </w:pPr>
            <w:r>
              <w:rPr>
                <w:rFonts w:ascii="Times New Roman" w:hAnsi="Times New Roman"/>
                <w:sz w:val="19"/>
              </w:rPr>
              <w:t xml:space="preserve">Toth (2020); ADHIKARI et al. (ADHIKARI et al., 2026)</w:t>
            </w:r>
          </w:p>
        </w:tc>
        <w:tc>
          <w:tcPr>
            <w:tcW w:w="2721" w:type="dxa"/>
          </w:tcPr>
          <w:p>
            <w:pPr>
              <w:pStyle w:val="Compact"/>
              <w:keepLines/>
              <w:spacing w:line="240" w:lineRule="auto" w:before="0" w:after="60"/>
              <w:ind w:firstLine="0" w:left="0" w:right="0"/>
              <w:jc w:val="left"/>
            </w:pPr>
            <w:r>
              <w:rPr>
                <w:rFonts w:ascii="Times New Roman" w:hAnsi="Times New Roman"/>
                <w:sz w:val="19"/>
              </w:rPr>
              <w:t xml:space="preserve">Loan moratoria and restructuring; microinsurance bundling</w:t>
            </w:r>
          </w:p>
        </w:tc>
      </w:tr>
    </w:tbl>
    <w:p>
      <w:pPr>
        <w:pStyle w:val="BodyText"/>
      </w:pPr>
      <w:r>
        <w:rPr>
          <w:i/>
          <w:iCs/>
        </w:rPr>
        <w:t xml:space="preserve">Table 15: Cross-cutting evidence on repayment pressure as a mediating factor.</w:t>
      </w:r>
    </w:p>
    <w:p>
      <w:pPr>
        <w:pStyle w:val="BodyText"/>
      </w:pPr>
      <w:r>
        <w:t xml:space="preserve">The synthesis across all three areas confirms that repayment pressure is not merely a side effect but a central dynamic that moderates the relationship between microfinance and resilience. Future research and programme design must account for the tension between the institutional need for repayment discipline and the household need for flexibility.</w:t>
      </w:r>
    </w:p>
    <w:bookmarkEnd w:id="43"/>
    <w:bookmarkStart w:id="44" w:name="proposed-conceptual-framework"/>
    <w:p>
      <w:pPr>
        <w:pStyle w:val="Heading3"/>
      </w:pPr>
      <w:r>
        <w:t xml:space="preserve">2.3.5 Proposed Conceptual Framework</w:t>
      </w:r>
    </w:p>
    <w:p>
      <w:pPr>
        <w:pStyle w:val="FirstParagraph"/>
      </w:pPr>
      <w:r>
        <w:t xml:space="preserve">Drawing together these syntheses, this thesis proposes a conceptual framework that positions household resilience as the outcome of multiple, interacting pathways, moderated by institutional design features. The framework is intended to guide empirical testing in future studies and to inform programme design.</w:t>
      </w:r>
    </w:p>
    <w:p>
      <w:pPr>
        <w:pStyle w:val="BodyText"/>
      </w:pPr>
      <w:r>
        <w:rPr>
          <w:b/>
          <w:bCs/>
        </w:rPr>
        <w:t xml:space="preserve">Core pathways to resilience.</w:t>
      </w:r>
      <w:r>
        <w:t xml:space="preserve"> </w:t>
      </w:r>
      <w:r>
        <w:t xml:space="preserve">The evidence supports three primary pathways through which microfinance can contribute to household resilience: income smoothing and asset building, women’s economic empowerment and agency, and risk management through savings, insurance, and flexible credit. Each pathway has been documented in the literature, but none operates in isolation.</w:t>
      </w:r>
    </w:p>
    <w:p>
      <w:pPr>
        <w:pStyle w:val="BodyText"/>
      </w:pPr>
      <w:r>
        <w:rPr>
          <w:b/>
          <w:bCs/>
        </w:rPr>
        <w:t xml:space="preserve">Moderators and mediators.</w:t>
      </w:r>
      <w:r>
        <w:t xml:space="preserve"> </w:t>
      </w:r>
      <w:r>
        <w:t xml:space="preserve">The synthesis reveals that the strength of each pathway depends on several moderating factors:</w:t>
      </w:r>
    </w:p>
    <w:p>
      <w:pPr>
        <w:pStyle w:val="Compact"/>
        <w:numPr>
          <w:ilvl w:val="0"/>
          <w:numId w:val="1005"/>
        </w:numPr>
      </w:pPr>
      <w:r>
        <w:rPr>
          <w:b/>
          <w:bCs/>
        </w:rPr>
        <w:t xml:space="preserve">Loan use and repayment structure:</w:t>
      </w:r>
      <w:r>
        <w:t xml:space="preserve"> </w:t>
      </w:r>
      <w:r>
        <w:t xml:space="preserve">Productive loans with flexible repayment schedules yield stronger resilience effects than consumption loans with rigid schedules.</w:t>
      </w:r>
    </w:p>
    <w:p>
      <w:pPr>
        <w:pStyle w:val="Compact"/>
        <w:numPr>
          <w:ilvl w:val="0"/>
          <w:numId w:val="1005"/>
        </w:numPr>
      </w:pPr>
      <w:r>
        <w:rPr>
          <w:b/>
          <w:bCs/>
        </w:rPr>
        <w:t xml:space="preserve">Institutional governance and financial health:</w:t>
      </w:r>
      <w:r>
        <w:t xml:space="preserve"> </w:t>
      </w:r>
      <w:r>
        <w:t xml:space="preserve">Well-governed MFIs with adequate liquidity can sustain lending during crises, amplifying the resilience pathway.</w:t>
      </w:r>
    </w:p>
    <w:p>
      <w:pPr>
        <w:pStyle w:val="Compact"/>
        <w:numPr>
          <w:ilvl w:val="0"/>
          <w:numId w:val="1005"/>
        </w:numPr>
      </w:pPr>
      <w:r>
        <w:rPr>
          <w:b/>
          <w:bCs/>
        </w:rPr>
        <w:t xml:space="preserve">Social context and gender norms:</w:t>
      </w:r>
      <w:r>
        <w:t xml:space="preserve"> </w:t>
      </w:r>
      <w:r>
        <w:t xml:space="preserve">The empowerment pathway is strongest in communities where women already have some decision-making space, and weakest where patriarchal norms dominate.</w:t>
      </w:r>
    </w:p>
    <w:p>
      <w:pPr>
        <w:pStyle w:val="Compact"/>
        <w:numPr>
          <w:ilvl w:val="0"/>
          <w:numId w:val="1005"/>
        </w:numPr>
      </w:pPr>
      <w:r>
        <w:rPr>
          <w:b/>
          <w:bCs/>
        </w:rPr>
        <w:t xml:space="preserve">Complementary services:</w:t>
      </w:r>
      <w:r>
        <w:t xml:space="preserve"> </w:t>
      </w:r>
      <w:r>
        <w:t xml:space="preserve">Microcredit combined with savings, insurance, skill training, and market linkages produces more strong resilience than credit alone.</w:t>
      </w:r>
    </w:p>
    <w:p>
      <w:pPr>
        <w:pStyle w:val="FirstParagraph"/>
      </w:pPr>
      <w:r>
        <w:rPr>
          <w:b/>
          <w:bCs/>
        </w:rPr>
        <w:t xml:space="preserve">Feedback loops.</w:t>
      </w:r>
      <w:r>
        <w:t xml:space="preserve"> </w:t>
      </w:r>
      <w:r>
        <w:t xml:space="preserve">The framework also incorporates feedback loops. For instance, improved household resilience can lead to greater loan repayment capacity, which enhances MFI financial sustainability, which in turn allows continued lending during future shocks. Conversely, unresolved repayment pressure can trap households in debt cycles that erode resilience, a pattern that some studies have documented.</w:t>
      </w:r>
    </w:p>
    <w:p>
      <w:pPr>
        <w:pStyle w:val="BodyText"/>
      </w:pPr>
      <w:r>
        <w:rPr>
          <w:b/>
          <w:bCs/>
        </w:rPr>
        <w:t xml:space="preserve">Visual conceptualisation (described in prose).</w:t>
      </w:r>
      <w:r>
        <w:t xml:space="preserve"> </w:t>
      </w:r>
      <w:r>
        <w:t xml:space="preserve">Imagine a central box labelled “Household Resilience” (measured by income stability, asset retention, shock recovery). Three arrows enter this box from the left: “Income Smoothing &amp; Asset Building” (supported by (Mukherjee &amp; Das, 2018; Yap, 2008)), “Women’s Empowerment &amp; Agency” (supported by (Murshid, 2018; Mafukata, 2022)), and “Risk Management Tools” (supported by (ADHIKARI et al., 2026; Ansar et al., 2023)). Above these arrows sits a moderating box labelled “Repayment Pressure &amp; Programme Design” (drawing on (Moll, 2007; Karim, 2011; Tang et al., 2026)), which influences the strength of all three pathways. Below the central box, a feedback arrow loops back to “Institutional Sustainability” (supported by (SINGKHALA, 2025; Toth, 2020)), which in turn affects the ability of MFIs to continue offering the three pathways. This recursivity is a key feature: the framework treats resilience not as a static outcome but as an emergent property of a dynamic system.</w:t>
      </w:r>
    </w:p>
    <w:p>
      <w:pPr>
        <w:pStyle w:val="BodyText"/>
      </w:pPr>
      <w:r>
        <w:rPr>
          <w:b/>
          <w:bCs/>
        </w:rPr>
        <w:t xml:space="preserve">Table 16: Components of the Proposed Conceptual Framework</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534"/>
        <w:gridCol w:w="3412"/>
        <w:gridCol w:w="3412"/>
      </w:tblGrid>
      <w:tr>
        <w:trPr>
          <w:tblHeader w:val="on"/>
        </w:trPr>
        <w:tc>
          <w:tcPr>
            <w:tcW w:w="253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Framework Component</w:t>
            </w:r>
          </w:p>
        </w:tc>
        <w:tc>
          <w:tcPr>
            <w:tcW w:w="341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Description</w:t>
            </w:r>
          </w:p>
        </w:tc>
        <w:tc>
          <w:tcPr>
            <w:tcW w:w="341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Key Supporting Literature</w:t>
            </w:r>
          </w:p>
        </w:tc>
      </w:tr>
      <w:tr>
        <w:tc>
          <w:tcPr>
            <w:tcW w:w="2534" w:type="dxa"/>
          </w:tcPr>
          <w:p>
            <w:pPr>
              <w:pStyle w:val="Compact"/>
              <w:keepLines/>
              <w:spacing w:line="240" w:lineRule="auto" w:before="0" w:after="60"/>
              <w:ind w:firstLine="0" w:left="0" w:right="0"/>
              <w:jc w:val="left"/>
            </w:pPr>
            <w:r>
              <w:rPr>
                <w:rFonts w:ascii="Times New Roman" w:hAnsi="Times New Roman"/>
                <w:sz w:val="21"/>
              </w:rPr>
              <w:t xml:space="preserve">Pathway 1: Income smoothing</w:t>
            </w:r>
          </w:p>
        </w:tc>
        <w:tc>
          <w:tcPr>
            <w:tcW w:w="3412" w:type="dxa"/>
          </w:tcPr>
          <w:p>
            <w:pPr>
              <w:pStyle w:val="Compact"/>
              <w:keepLines/>
              <w:spacing w:line="240" w:lineRule="auto" w:before="0" w:after="60"/>
              <w:ind w:firstLine="0" w:left="0" w:right="0"/>
              <w:jc w:val="left"/>
            </w:pPr>
            <w:r>
              <w:rPr>
                <w:rFonts w:ascii="Times New Roman" w:hAnsi="Times New Roman"/>
                <w:sz w:val="21"/>
              </w:rPr>
              <w:t xml:space="preserve">Credit enables asset accumulation, consumption stability</w:t>
            </w:r>
          </w:p>
        </w:tc>
        <w:tc>
          <w:tcPr>
            <w:tcW w:w="3412" w:type="dxa"/>
          </w:tcPr>
          <w:p>
            <w:pPr>
              <w:pStyle w:val="Compact"/>
              <w:keepLines/>
              <w:spacing w:line="240" w:lineRule="auto" w:before="0" w:after="60"/>
              <w:ind w:firstLine="0" w:left="0" w:right="0"/>
              <w:jc w:val="left"/>
            </w:pPr>
            <w:r>
              <w:rPr>
                <w:rFonts w:ascii="Times New Roman" w:hAnsi="Times New Roman"/>
                <w:sz w:val="21"/>
              </w:rPr>
              <w:t xml:space="preserve">(Mukherjee &amp; Das, 2018; Yap, 2008; Pica-Ciamarra et al., 2019)</w:t>
            </w:r>
          </w:p>
        </w:tc>
      </w:tr>
      <w:tr>
        <w:tc>
          <w:tcPr>
            <w:tcW w:w="2534" w:type="dxa"/>
          </w:tcPr>
          <w:p>
            <w:pPr>
              <w:pStyle w:val="Compact"/>
              <w:keepLines/>
              <w:spacing w:line="240" w:lineRule="auto" w:before="0" w:after="60"/>
              <w:ind w:firstLine="0" w:left="0" w:right="0"/>
              <w:jc w:val="left"/>
            </w:pPr>
            <w:r>
              <w:rPr>
                <w:rFonts w:ascii="Times New Roman" w:hAnsi="Times New Roman"/>
                <w:sz w:val="21"/>
              </w:rPr>
              <w:t xml:space="preserve">Pathway 2: Women’s empowerment</w:t>
            </w:r>
          </w:p>
        </w:tc>
        <w:tc>
          <w:tcPr>
            <w:tcW w:w="3412" w:type="dxa"/>
          </w:tcPr>
          <w:p>
            <w:pPr>
              <w:pStyle w:val="Compact"/>
              <w:keepLines/>
              <w:spacing w:line="240" w:lineRule="auto" w:before="0" w:after="60"/>
              <w:ind w:firstLine="0" w:left="0" w:right="0"/>
              <w:jc w:val="left"/>
            </w:pPr>
            <w:r>
              <w:rPr>
                <w:rFonts w:ascii="Times New Roman" w:hAnsi="Times New Roman"/>
                <w:sz w:val="21"/>
              </w:rPr>
              <w:t xml:space="preserve">Loan access improves agency, decision-making power</w:t>
            </w:r>
          </w:p>
        </w:tc>
        <w:tc>
          <w:tcPr>
            <w:tcW w:w="3412" w:type="dxa"/>
          </w:tcPr>
          <w:p>
            <w:pPr>
              <w:pStyle w:val="Compact"/>
              <w:keepLines/>
              <w:spacing w:line="240" w:lineRule="auto" w:before="0" w:after="60"/>
              <w:ind w:firstLine="0" w:left="0" w:right="0"/>
              <w:jc w:val="left"/>
            </w:pPr>
            <w:r>
              <w:rPr>
                <w:rFonts w:ascii="Times New Roman" w:hAnsi="Times New Roman"/>
                <w:sz w:val="21"/>
              </w:rPr>
              <w:t xml:space="preserve">(Murshid, 2018; Mafukata, 2022)</w:t>
            </w:r>
          </w:p>
        </w:tc>
      </w:tr>
      <w:tr>
        <w:tc>
          <w:tcPr>
            <w:tcW w:w="2534" w:type="dxa"/>
          </w:tcPr>
          <w:p>
            <w:pPr>
              <w:pStyle w:val="Compact"/>
              <w:keepLines/>
              <w:spacing w:line="240" w:lineRule="auto" w:before="0" w:after="60"/>
              <w:ind w:firstLine="0" w:left="0" w:right="0"/>
              <w:jc w:val="left"/>
            </w:pPr>
            <w:r>
              <w:rPr>
                <w:rFonts w:ascii="Times New Roman" w:hAnsi="Times New Roman"/>
                <w:sz w:val="21"/>
              </w:rPr>
              <w:t xml:space="preserve">Pathway 3: Risk management</w:t>
            </w:r>
          </w:p>
        </w:tc>
        <w:tc>
          <w:tcPr>
            <w:tcW w:w="3412" w:type="dxa"/>
          </w:tcPr>
          <w:p>
            <w:pPr>
              <w:pStyle w:val="Compact"/>
              <w:keepLines/>
              <w:spacing w:line="240" w:lineRule="auto" w:before="0" w:after="60"/>
              <w:ind w:firstLine="0" w:left="0" w:right="0"/>
              <w:jc w:val="left"/>
            </w:pPr>
            <w:r>
              <w:rPr>
                <w:rFonts w:ascii="Times New Roman" w:hAnsi="Times New Roman"/>
                <w:sz w:val="21"/>
              </w:rPr>
              <w:t xml:space="preserve">Savings, insurance, flexible terms buffer shocks</w:t>
            </w:r>
          </w:p>
        </w:tc>
        <w:tc>
          <w:tcPr>
            <w:tcW w:w="3412" w:type="dxa"/>
          </w:tcPr>
          <w:p>
            <w:pPr>
              <w:pStyle w:val="Compact"/>
              <w:keepLines/>
              <w:spacing w:line="240" w:lineRule="auto" w:before="0" w:after="60"/>
              <w:ind w:firstLine="0" w:left="0" w:right="0"/>
              <w:jc w:val="left"/>
            </w:pPr>
            <w:r>
              <w:rPr>
                <w:rFonts w:ascii="Times New Roman" w:hAnsi="Times New Roman"/>
                <w:sz w:val="21"/>
              </w:rPr>
              <w:t xml:space="preserve">(ADHIKARI et al., 2026; Toth, 2020)</w:t>
            </w:r>
          </w:p>
        </w:tc>
      </w:tr>
      <w:tr>
        <w:tc>
          <w:tcPr>
            <w:tcW w:w="2534" w:type="dxa"/>
          </w:tcPr>
          <w:p>
            <w:pPr>
              <w:pStyle w:val="Compact"/>
              <w:keepLines/>
              <w:spacing w:line="240" w:lineRule="auto" w:before="0" w:after="60"/>
              <w:ind w:firstLine="0" w:left="0" w:right="0"/>
              <w:jc w:val="left"/>
            </w:pPr>
            <w:r>
              <w:rPr>
                <w:rFonts w:ascii="Times New Roman" w:hAnsi="Times New Roman"/>
                <w:sz w:val="21"/>
              </w:rPr>
              <w:t xml:space="preserve">Moderator: Programme design</w:t>
            </w:r>
          </w:p>
        </w:tc>
        <w:tc>
          <w:tcPr>
            <w:tcW w:w="3412" w:type="dxa"/>
          </w:tcPr>
          <w:p>
            <w:pPr>
              <w:pStyle w:val="Compact"/>
              <w:keepLines/>
              <w:spacing w:line="240" w:lineRule="auto" w:before="0" w:after="60"/>
              <w:ind w:firstLine="0" w:left="0" w:right="0"/>
              <w:jc w:val="left"/>
            </w:pPr>
            <w:r>
              <w:rPr>
                <w:rFonts w:ascii="Times New Roman" w:hAnsi="Times New Roman"/>
                <w:sz w:val="21"/>
              </w:rPr>
              <w:t xml:space="preserve">Repayment structure, governance, ICT adoption</w:t>
            </w:r>
          </w:p>
        </w:tc>
        <w:tc>
          <w:tcPr>
            <w:tcW w:w="3412" w:type="dxa"/>
          </w:tcPr>
          <w:p>
            <w:pPr>
              <w:pStyle w:val="Compact"/>
              <w:keepLines/>
              <w:spacing w:line="240" w:lineRule="auto" w:before="0" w:after="60"/>
              <w:ind w:firstLine="0" w:left="0" w:right="0"/>
              <w:jc w:val="left"/>
            </w:pPr>
            <w:r>
              <w:rPr>
                <w:rFonts w:ascii="Times New Roman" w:hAnsi="Times New Roman"/>
                <w:sz w:val="21"/>
              </w:rPr>
              <w:t xml:space="preserve">(Tang et al., 2026; Moll, 2007)</w:t>
            </w:r>
          </w:p>
        </w:tc>
      </w:tr>
      <w:tr>
        <w:tc>
          <w:tcPr>
            <w:tcW w:w="2534" w:type="dxa"/>
          </w:tcPr>
          <w:p>
            <w:pPr>
              <w:pStyle w:val="Compact"/>
              <w:keepLines/>
              <w:spacing w:line="240" w:lineRule="auto" w:before="0" w:after="60"/>
              <w:ind w:firstLine="0" w:left="0" w:right="0"/>
              <w:jc w:val="left"/>
            </w:pPr>
            <w:r>
              <w:rPr>
                <w:rFonts w:ascii="Times New Roman" w:hAnsi="Times New Roman"/>
                <w:sz w:val="21"/>
              </w:rPr>
              <w:t xml:space="preserve">Feedback: Institutional sustainability</w:t>
            </w:r>
          </w:p>
        </w:tc>
        <w:tc>
          <w:tcPr>
            <w:tcW w:w="3412" w:type="dxa"/>
          </w:tcPr>
          <w:p>
            <w:pPr>
              <w:pStyle w:val="Compact"/>
              <w:keepLines/>
              <w:spacing w:line="240" w:lineRule="auto" w:before="0" w:after="60"/>
              <w:ind w:firstLine="0" w:left="0" w:right="0"/>
              <w:jc w:val="left"/>
            </w:pPr>
            <w:r>
              <w:rPr>
                <w:rFonts w:ascii="Times New Roman" w:hAnsi="Times New Roman"/>
                <w:sz w:val="21"/>
              </w:rPr>
              <w:t xml:space="preserve">MFI health enables continued service delivery</w:t>
            </w:r>
          </w:p>
        </w:tc>
        <w:tc>
          <w:tcPr>
            <w:tcW w:w="3412" w:type="dxa"/>
          </w:tcPr>
          <w:p>
            <w:pPr>
              <w:pStyle w:val="Compact"/>
              <w:keepLines/>
              <w:spacing w:line="240" w:lineRule="auto" w:before="0" w:after="60"/>
              <w:ind w:firstLine="0" w:left="0" w:right="0"/>
              <w:jc w:val="left"/>
            </w:pPr>
            <w:r>
              <w:rPr>
                <w:rFonts w:ascii="Times New Roman" w:hAnsi="Times New Roman"/>
                <w:sz w:val="21"/>
              </w:rPr>
              <w:t xml:space="preserve">(SINGKHALA, 2025; Tang et al., 2026)</w:t>
            </w:r>
          </w:p>
        </w:tc>
      </w:tr>
    </w:tbl>
    <w:p>
      <w:pPr>
        <w:pStyle w:val="BodyText"/>
      </w:pPr>
      <w:r>
        <w:rPr>
          <w:i/>
          <w:iCs/>
        </w:rPr>
        <w:t xml:space="preserve">Table 17: Summary of the conceptual framework components.</w:t>
      </w:r>
    </w:p>
    <w:p>
      <w:pPr>
        <w:pStyle w:val="BodyText"/>
      </w:pPr>
      <w:r>
        <w:t xml:space="preserve">This framework advances beyond the existing literature by explicitly linking the three thematic pathways to the cross-cutting issue of repayment pressure and by incorporating institutional sustainability as a feedback loop. It acknowledges that microfinance does not automatically build resilience--it does so only when designed and implemented in ways that align with the realities of rural livelihoods in South Asia. The framework is intentionally general enough to accommodate variation across contexts yet specific enough to generate testable hypotheses. Future empirical work, whether quantitative panel studies or qualitative comparative case analysis, should operationalise these pathways and test their relative contributions to household resilience.</w:t>
      </w:r>
    </w:p>
    <w:p>
      <w:pPr>
        <w:pStyle w:val="BodyText"/>
      </w:pPr>
      <w:r>
        <w:t xml:space="preserve">The synthesis presented here feeds directly into the Discussion section that follows, where the findings are interpreted, compared with the broader literature, and assessed for their policy and practice implications.</w:t>
      </w:r>
    </w:p>
    <w:bookmarkEnd w:id="44"/>
    <w:bookmarkEnd w:id="45"/>
    <w:bookmarkStart w:id="52" w:name="discussion"/>
    <w:p>
      <w:pPr>
        <w:pStyle w:val="Heading2"/>
      </w:pPr>
      <w:r>
        <w:t xml:space="preserve">2.4 Discussion</w:t>
      </w:r>
    </w:p>
    <w:p>
      <w:pPr>
        <w:pStyle w:val="FirstParagraph"/>
      </w:pPr>
      <w:r>
        <w:t xml:space="preserve">The findings from the literature synthesized in section 2.3 reveal considerable patterns that both align with and challenge the theoretical frameworks discussed in section 2.1. As noted in the literature review, resilience in rural South Asian households has been conceptualised through asset accumulation, consumption smoothing, and shock-coping capacity (Mukherjee &amp; Das, 2018; Pica-Ciamarra et al., 2019). The synthesis confirms that microfinance operates through three primary pathways--income smoothing, women’s empowerment, and risk management--but the mechanisms are far from uniform. More importantly, the cross-cutting influence of repayment pressure and the feedback loop of institutional sustainability emerge as critical mediators that earlier studies, reviewed in section 2.1, only partially addressed. This discussion interprets these findings in the context of existing scholarship, identifies methodological limitations of the reviewed evidence, and draws out implications for research, policy, and practice.</w:t>
      </w:r>
    </w:p>
    <w:bookmarkStart w:id="46" w:name="interpretation-of-findings"/>
    <w:p>
      <w:pPr>
        <w:pStyle w:val="Heading3"/>
      </w:pPr>
      <w:r>
        <w:t xml:space="preserve">2.4.1 Interpretation of Findings</w:t>
      </w:r>
    </w:p>
    <w:p>
      <w:pPr>
        <w:pStyle w:val="FirstParagraph"/>
      </w:pPr>
      <w:r>
        <w:t xml:space="preserve">The evidence from the synthesis supports the view that microfinance can strengthen household resilience, but the effect is conditional rather than automatic. Income smoothing, the most widely documented pathway, operates through credit-enabled asset accumulation and consumption stability (Mukherjee &amp; Das, 2018; Yap, 2008). What stands out from the cross-study comparison is the heterogeneity in outcomes. While some households use loans to build productive assets--livestock, small equipment--that buffer against future shocks, others divert credit toward immediate consumption or debt repayment, yielding little long-term resilience gain (Pica-Ciamarra et al., 2019). The literature suggests that the distinction depends on loan size, repayment schedule, and the presence of complementary services such as savings or insurance (ADHIKARI et al., 2026).</w:t>
      </w:r>
    </w:p>
    <w:p>
      <w:pPr>
        <w:pStyle w:val="BodyText"/>
      </w:pPr>
      <w:r>
        <w:t xml:space="preserve">The numbers tell a layered story. Across the studies reviewed, the proportion of borrowers reporting improved consumption stability ranged widely, from 30% in contexts with rigid weekly repayment schedules to over 60% where flexible terms were available. This variation points to programme design as a critical moderator. The findings from the literature reviewed in section 2.3 also show that women’s empowerment is a second pathway, but its relationship with resilience is not linear. Microfinance participation increases women’s decision-making power in some households (Murshid, 2018), yet the same loans can exacerbate intra-household tension or domestic violence when repayment pressure mounts (Aktaruzzaman &amp; Guha-Khasnobis, 2012). The conceptual framework proposed in section 2.3 captures this duality by treating repayment pressure as a moderating force that can either reinforce or undermine the empowerment pathway.</w:t>
      </w:r>
    </w:p>
    <w:p>
      <w:pPr>
        <w:pStyle w:val="BodyText"/>
      </w:pPr>
      <w:r>
        <w:t xml:space="preserve">Risk management emerges as the third pathway, but the evidence is thinner. Microinsurance adoption, where available, demonstrably cushions households against health and income shocks (ADHIKARI et al., 2026). However, uptake remains low in rural South Asia, hampered by low financial literacy, distrust in institutions, and the high premium cost relative to perceived risk (Ansar et al., 2023). The synthesis further reveals a feedback loop: the financial health of microfinance institutions (MFIs) conditions their ability to offer these services. Research on MFI efficiency in South Asia (Tang et al., 2026) shows that ICT adoption and strong governance improve both financial sustainability and social outreach. When MFIs struggle with repayment stress or governance failures, the institutions meant to build household resilience become fragile, creating a system-level susceptibility. the most important insight from the synthesis is that resilience is not a product of microfinance alone but an emergent property of the interaction between household strategies, programme design, and institutional health. The three pathways are not independent; a woman who accesses credit for income smoothing may simultaneously gain decision-making power, but the same repayment pressure that threatens her loan discipline can erode her autonomy. This recursivity is a feature that earlier studies, as summarised in section 2.1, rarely captured.</w:t>
      </w:r>
    </w:p>
    <w:bookmarkEnd w:id="46"/>
    <w:bookmarkStart w:id="47" w:name="comparison-with-prior-literature"/>
    <w:p>
      <w:pPr>
        <w:pStyle w:val="Heading3"/>
      </w:pPr>
      <w:r>
        <w:t xml:space="preserve">2.4.2 Comparison with Prior Literature</w:t>
      </w:r>
    </w:p>
    <w:p>
      <w:pPr>
        <w:pStyle w:val="FirstParagraph"/>
      </w:pPr>
      <w:r>
        <w:t xml:space="preserve">Compared to the theoretical framework presented in section 2.1, the findings from the literature confirm several established relationships while also revealing contradictions. Earlier work on consumption smoothing (Mukherjee &amp; Das, 2018) posited that microfinance uniformly stabilises consumption by relaxing credit constraints. The evidence from the reviewed studies supports this claim for a subset of borrowers but also shows that rigid repayment structures--common in Grameen-style group lending--can force loan cycling that does not translate into asset building. This finding aligns with Moll’s (2007) analysis (Moll, 2007) of rural microfinance challenges, which emphasised that loan terms must match agricultural income cycles. The divergence lies in the scale: the earlier literature, reviewed in section 2.1, treated repayment pressure as a minor operational detail; the synthesis elevates it to a central mediating factor.</w:t>
      </w:r>
    </w:p>
    <w:p>
      <w:pPr>
        <w:pStyle w:val="BodyText"/>
      </w:pPr>
      <w:r>
        <w:t xml:space="preserve">The women’s empowerment pathway, as documented by Murshid (2018) and Mafukata (2022), shows a clearer positive association with household welfare than prior expectations allowed. Section 2.1 highlighted the possibility that microfinance could disempower women through increased workload or male appropriation of loans. The synthesised findings do not reject this risk--, some studies report cases of loan capture--but the overall direction is toward improved agency, especially when programmes combine credit with training. What the earlier literature underemphasised is the heterogeneity by marital status and household composition. Studies show that unmarried or widowed women gain more decision-making power than married women, whose loans are often controlled by husbands (Murshid, 2018). This nuance was largely absent from the aggregated discussions in section 2.1.</w:t>
      </w:r>
    </w:p>
    <w:p>
      <w:pPr>
        <w:pStyle w:val="BodyText"/>
      </w:pPr>
      <w:r>
        <w:t xml:space="preserve">Regarding shock coping, the findings from the literature in section 2.3 partially contradict the pessimistic view from some earlier studies that microfinance merely shifts risk factor into debt dependence. Research on microinsurance (ADHIKARI et al., 2026) and emergency savings (Ansar et al., 2023) shows genuine protective effects, but these are contingent on product design. The gap between promise and performance, as identified in section 2.1, is largely attributable to the absence of bundled risk-management products in most South Asian microfinance portfolios.</w:t>
      </w:r>
    </w:p>
    <w:bookmarkEnd w:id="47"/>
    <w:bookmarkStart w:id="48" w:name="X8dd5fee358745e8a75b8e2344bb5da1b52f32da"/>
    <w:p>
      <w:pPr>
        <w:pStyle w:val="Heading3"/>
      </w:pPr>
      <w:r>
        <w:t xml:space="preserve">2.4.3 Methodological Limitations of the Reviewed Literature</w:t>
      </w:r>
    </w:p>
    <w:p>
      <w:pPr>
        <w:pStyle w:val="FirstParagraph"/>
      </w:pPr>
      <w:r>
        <w:t xml:space="preserve">The robustness of these interpretations must be weighed against the methodological constraints of the evidence base. The most pervasive limitation is measurement inconsistency, as discussed in section 2.1.1. Resilience is operationalised differently across studies--some use food security indices, others use asset counts or income variance. This fragmentation makes cross-study comparison difficult and meta-analysis impossible. For example, a study that defines resilience as “consumption above poverty line” cannot be directly compared with one that uses a “livelihood diversity index”. This meant that, the patterns observed in the synthesis may reflect differences in measurement rather than true variation in impact.</w:t>
      </w:r>
    </w:p>
    <w:p>
      <w:pPr>
        <w:pStyle w:val="BodyText"/>
      </w:pPr>
      <w:r>
        <w:t xml:space="preserve">A second limitation concerns causal identification. Few studies employ randomised designs or strong quasi-experimental methods. The majority rely on cross-sectional surveys with self-reported outcomes, which are vulnerable to selection bias--households that choose microfinance may already be more entrepreneurial or better connected. Propensity score matching, used in some studies (Cintina &amp; Love, 2017), reduces but does not eliminate this bias. Without panel data tracking the same households before and after programme entry, establishing a causal link between microfinance and resilience remains elusive.</w:t>
      </w:r>
    </w:p>
    <w:p>
      <w:pPr>
        <w:pStyle w:val="BodyText"/>
      </w:pPr>
      <w:r>
        <w:t xml:space="preserve">Sample representativeness also limits generalisability. Most reviewed studies focus on a single district, programme, or lending methodology. Bangladesh and India dominate, while Nepal, Pakistan, and Sri Lanka are underrepresented. Given that institutional environments, gender norms, and economic structures vary substantially across South Asia, findings from one context may not travel well. The digital shift in microfinance--mobile loans, agent banking--is still inadequately captured in the published literature (Tang et al., 2026), meaning the reviewed studies may already lag behind contemporary practice.</w:t>
      </w:r>
    </w:p>
    <w:bookmarkEnd w:id="48"/>
    <w:bookmarkStart w:id="49" w:name="implications-for-future-research"/>
    <w:p>
      <w:pPr>
        <w:pStyle w:val="Heading3"/>
      </w:pPr>
      <w:r>
        <w:t xml:space="preserve">2.4.4 Implications for Future Research</w:t>
      </w:r>
    </w:p>
    <w:p>
      <w:pPr>
        <w:pStyle w:val="FirstParagraph"/>
      </w:pPr>
      <w:r>
        <w:t xml:space="preserve">These limitations point to clear directions for future work. First, longitudinal panel studies that track household outcomes over three to five years are urgently needed. The conceptual framework proposed in section 2.3 suggests that resilience builds slowly and that feedback loops between household debt burdens and MFI health take time to manifest. Short-term studies miss these dynamics. Second, future research should explicitly measure and compare the three pathways within the same sample to assess their relative contributions. A field experiment that randomly assigns households to income smoothing loans, women’s empowerment training, or microinsurance products could isolate causal effects and test interaction terms.</w:t>
      </w:r>
    </w:p>
    <w:p>
      <w:pPr>
        <w:pStyle w:val="BodyText"/>
      </w:pPr>
      <w:r>
        <w:t xml:space="preserve">Third, qualitative comparative case analysis across South Asian countries would enrich understanding of how cultural and institutional contexts shape microfinance outcomes. For instance, the moderate effect of repayment pressure reported in Bangladesh may be different in societies with stronger informal risk-sharing networks. Mixed-methods designs that combine survey data with in-depth interviews could illuminate the mechanisms behind the statistical patterns.</w:t>
      </w:r>
    </w:p>
    <w:p>
      <w:pPr>
        <w:pStyle w:val="BodyText"/>
      </w:pPr>
      <w:r>
        <w:t xml:space="preserve">Fourth, future studies must incorporate measures of institutional sustainability. As shown by Tang et al. (Tang et al., 2026), MFI governance and ICT adoption directly affect the quality and continuity of services. Resilience research that treats microfinance as a fixed intervention--rather than a dynamic service delivered by heterogeneous institutions--will miss this systemic dimension. The digital transformation of microfinance post-2020, accelerated by the COVID-19 pandemic (Toth, 2020), offers a natural experiment to study how ICT adoption alters the resilience pathways.</w:t>
      </w:r>
    </w:p>
    <w:bookmarkEnd w:id="49"/>
    <w:bookmarkStart w:id="50" w:name="implications-for-policy-and-practice"/>
    <w:p>
      <w:pPr>
        <w:pStyle w:val="Heading3"/>
      </w:pPr>
      <w:r>
        <w:t xml:space="preserve">2.4.5 Implications for Policy and Practice</w:t>
      </w:r>
    </w:p>
    <w:p>
      <w:pPr>
        <w:pStyle w:val="FirstParagraph"/>
      </w:pPr>
      <w:r>
        <w:t xml:space="preserve">The implications for programme design are clear. Policymakers and practitioners should move beyond a one-size-fits-all credit model toward a bundled service that integrates savings, insurance, and flexible repayment terms. The evidence from the synthesis indicates that rigid repayment schedules undermine income smoothing and exacerbate exposure during lean seasons. Loan product design should match the cash flow cycles of agricultural households--allowing moratoriums after harvest failures or health shocks. Group-lending models, while effective for repayment discipline, may need to incorporate grace periods to avoid trapping borrowers in debt cycles.</w:t>
      </w:r>
    </w:p>
    <w:p>
      <w:pPr>
        <w:pStyle w:val="BodyText"/>
      </w:pPr>
      <w:r>
        <w:t xml:space="preserve">Second, women’s empowerment programmes are most effective when credit is coupled with training in financial literacy, business management, and legal rights. The findings from the literature show that women’s decision-making power increases when they understand loan terms and can negotiate within the household (Murshid, 2018; Mafukata, 2022). MFIs should invest in client education as a core service, not an optional add-on.</w:t>
      </w:r>
    </w:p>
    <w:p>
      <w:pPr>
        <w:pStyle w:val="BodyText"/>
      </w:pPr>
      <w:r>
        <w:t xml:space="preserve">Third, risk management tools such as microinsurance need to be scaled. The synthesis shows that low uptake is partly a supply-side problem: products are poorly marketed, premiums are high, and claims processes are cumbersome. Regulatory frameworks that subsidise premiums or mandate bundled insurance for agricultural loans could dramatically increase coverage, as showed by early evidence from India and Bangladesh (ADHIKARI et al., 2026).</w:t>
      </w:r>
    </w:p>
    <w:p>
      <w:pPr>
        <w:pStyle w:val="BodyText"/>
      </w:pPr>
      <w:r>
        <w:t xml:space="preserve">Fourth, MFI governance and institutional health must be prioritised. The feedback loop identified in the conceptual framework means that a poorly managed MFI will eventually fail its clients. Regulators should enforce transparency standards, encourage adoption of digital financial technologies, and provide refinancing facilities to buffer MFIs against portfolio shocks during crises. The COVID-19 pandemic exposed the fragility of many MFIs, with overdue rates spiking and outreach shrinking (Toth, 2020). Building resilience in the microfinance sector itself is a precondition for building resilience in rural households.</w:t>
      </w:r>
    </w:p>
    <w:p>
      <w:pPr>
        <w:pStyle w:val="BodyText"/>
      </w:pPr>
      <w:r>
        <w:rPr>
          <w:b/>
          <w:bCs/>
        </w:rPr>
        <w:t xml:space="preserve">Table 18: Summary of Key Implications from Literature Synthesis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88"/>
        <w:gridCol w:w="2569"/>
        <w:gridCol w:w="2701"/>
        <w:gridCol w:w="2701"/>
      </w:tblGrid>
      <w:tr>
        <w:trPr>
          <w:tblHeader w:val="on"/>
        </w:trPr>
        <w:tc>
          <w:tcPr>
            <w:tcW w:w="138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Pathway</w:t>
            </w:r>
          </w:p>
        </w:tc>
        <w:tc>
          <w:tcPr>
            <w:tcW w:w="256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Key Finding</w:t>
            </w:r>
          </w:p>
        </w:tc>
        <w:tc>
          <w:tcPr>
            <w:tcW w:w="270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Limitation in Evidence</w:t>
            </w:r>
          </w:p>
        </w:tc>
        <w:tc>
          <w:tcPr>
            <w:tcW w:w="270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Policy Implication</w:t>
            </w:r>
          </w:p>
        </w:tc>
      </w:tr>
      <w:tr>
        <w:tc>
          <w:tcPr>
            <w:tcW w:w="1388" w:type="dxa"/>
          </w:tcPr>
          <w:p>
            <w:pPr>
              <w:pStyle w:val="Compact"/>
              <w:keepLines/>
              <w:spacing w:line="240" w:lineRule="auto" w:before="0" w:after="60"/>
              <w:ind w:firstLine="0" w:left="0" w:right="0"/>
              <w:jc w:val="left"/>
            </w:pPr>
            <w:r>
              <w:rPr>
                <w:rFonts w:ascii="Times New Roman" w:hAnsi="Times New Roman"/>
                <w:sz w:val="19"/>
              </w:rPr>
              <w:t xml:space="preserve">Income smoothing</w:t>
            </w:r>
          </w:p>
        </w:tc>
        <w:tc>
          <w:tcPr>
            <w:tcW w:w="2569" w:type="dxa"/>
          </w:tcPr>
          <w:p>
            <w:pPr>
              <w:pStyle w:val="Compact"/>
              <w:keepLines/>
              <w:spacing w:line="240" w:lineRule="auto" w:before="0" w:after="60"/>
              <w:ind w:firstLine="0" w:left="0" w:right="0"/>
              <w:jc w:val="left"/>
            </w:pPr>
            <w:r>
              <w:rPr>
                <w:rFonts w:ascii="Times New Roman" w:hAnsi="Times New Roman"/>
                <w:sz w:val="19"/>
              </w:rPr>
              <w:t xml:space="preserve">Positive but conditional on flexible terms</w:t>
            </w:r>
          </w:p>
        </w:tc>
        <w:tc>
          <w:tcPr>
            <w:tcW w:w="2701" w:type="dxa"/>
          </w:tcPr>
          <w:p>
            <w:pPr>
              <w:pStyle w:val="Compact"/>
              <w:keepLines/>
              <w:spacing w:line="240" w:lineRule="auto" w:before="0" w:after="60"/>
              <w:ind w:firstLine="0" w:left="0" w:right="0"/>
              <w:jc w:val="left"/>
            </w:pPr>
            <w:r>
              <w:rPr>
                <w:rFonts w:ascii="Times New Roman" w:hAnsi="Times New Roman"/>
                <w:sz w:val="19"/>
              </w:rPr>
              <w:t xml:space="preserve">Cross-sectional designs; no long-term tracking</w:t>
            </w:r>
          </w:p>
        </w:tc>
        <w:tc>
          <w:tcPr>
            <w:tcW w:w="2701" w:type="dxa"/>
          </w:tcPr>
          <w:p>
            <w:pPr>
              <w:pStyle w:val="Compact"/>
              <w:keepLines/>
              <w:spacing w:line="240" w:lineRule="auto" w:before="0" w:after="60"/>
              <w:ind w:firstLine="0" w:left="0" w:right="0"/>
              <w:jc w:val="left"/>
            </w:pPr>
            <w:r>
              <w:rPr>
                <w:rFonts w:ascii="Times New Roman" w:hAnsi="Times New Roman"/>
                <w:sz w:val="19"/>
              </w:rPr>
              <w:t xml:space="preserve">Design loans matching agricultural cash flows</w:t>
            </w:r>
          </w:p>
        </w:tc>
      </w:tr>
      <w:tr>
        <w:tc>
          <w:tcPr>
            <w:tcW w:w="1388" w:type="dxa"/>
          </w:tcPr>
          <w:p>
            <w:pPr>
              <w:pStyle w:val="Compact"/>
              <w:keepLines/>
              <w:spacing w:line="240" w:lineRule="auto" w:before="0" w:after="60"/>
              <w:ind w:firstLine="0" w:left="0" w:right="0"/>
              <w:jc w:val="left"/>
            </w:pPr>
            <w:r>
              <w:rPr>
                <w:rFonts w:ascii="Times New Roman" w:hAnsi="Times New Roman"/>
                <w:sz w:val="19"/>
              </w:rPr>
              <w:t xml:space="preserve">Women's empowerment</w:t>
            </w:r>
          </w:p>
        </w:tc>
        <w:tc>
          <w:tcPr>
            <w:tcW w:w="2569" w:type="dxa"/>
          </w:tcPr>
          <w:p>
            <w:pPr>
              <w:pStyle w:val="Compact"/>
              <w:keepLines/>
              <w:spacing w:line="240" w:lineRule="auto" w:before="0" w:after="60"/>
              <w:ind w:firstLine="0" w:left="0" w:right="0"/>
              <w:jc w:val="left"/>
            </w:pPr>
            <w:r>
              <w:rPr>
                <w:rFonts w:ascii="Times New Roman" w:hAnsi="Times New Roman"/>
                <w:sz w:val="19"/>
              </w:rPr>
              <w:t xml:space="preserve">Improved decision-making, but context-dependent</w:t>
            </w:r>
          </w:p>
        </w:tc>
        <w:tc>
          <w:tcPr>
            <w:tcW w:w="2701" w:type="dxa"/>
          </w:tcPr>
          <w:p>
            <w:pPr>
              <w:pStyle w:val="Compact"/>
              <w:keepLines/>
              <w:spacing w:line="240" w:lineRule="auto" w:before="0" w:after="60"/>
              <w:ind w:firstLine="0" w:left="0" w:right="0"/>
              <w:jc w:val="left"/>
            </w:pPr>
            <w:r>
              <w:rPr>
                <w:rFonts w:ascii="Times New Roman" w:hAnsi="Times New Roman"/>
                <w:sz w:val="19"/>
              </w:rPr>
              <w:t xml:space="preserve">Self-reported outcomes; limited male-perception data</w:t>
            </w:r>
          </w:p>
        </w:tc>
        <w:tc>
          <w:tcPr>
            <w:tcW w:w="2701" w:type="dxa"/>
          </w:tcPr>
          <w:p>
            <w:pPr>
              <w:pStyle w:val="Compact"/>
              <w:keepLines/>
              <w:spacing w:line="240" w:lineRule="auto" w:before="0" w:after="60"/>
              <w:ind w:firstLine="0" w:left="0" w:right="0"/>
              <w:jc w:val="left"/>
            </w:pPr>
            <w:r>
              <w:rPr>
                <w:rFonts w:ascii="Times New Roman" w:hAnsi="Times New Roman"/>
                <w:sz w:val="19"/>
              </w:rPr>
              <w:t xml:space="preserve">Bundle credit with financial literacy training</w:t>
            </w:r>
          </w:p>
        </w:tc>
      </w:tr>
      <w:tr>
        <w:tc>
          <w:tcPr>
            <w:tcW w:w="1388" w:type="dxa"/>
          </w:tcPr>
          <w:p>
            <w:pPr>
              <w:pStyle w:val="Compact"/>
              <w:keepLines/>
              <w:spacing w:line="240" w:lineRule="auto" w:before="0" w:after="60"/>
              <w:ind w:firstLine="0" w:left="0" w:right="0"/>
              <w:jc w:val="left"/>
            </w:pPr>
            <w:r>
              <w:rPr>
                <w:rFonts w:ascii="Times New Roman" w:hAnsi="Times New Roman"/>
                <w:sz w:val="19"/>
              </w:rPr>
              <w:t xml:space="preserve">Risk management</w:t>
            </w:r>
          </w:p>
        </w:tc>
        <w:tc>
          <w:tcPr>
            <w:tcW w:w="2569" w:type="dxa"/>
          </w:tcPr>
          <w:p>
            <w:pPr>
              <w:pStyle w:val="Compact"/>
              <w:keepLines/>
              <w:spacing w:line="240" w:lineRule="auto" w:before="0" w:after="60"/>
              <w:ind w:firstLine="0" w:left="0" w:right="0"/>
              <w:jc w:val="left"/>
            </w:pPr>
            <w:r>
              <w:rPr>
                <w:rFonts w:ascii="Times New Roman" w:hAnsi="Times New Roman"/>
                <w:sz w:val="19"/>
              </w:rPr>
              <w:t xml:space="preserve">Microinsurance cushions shocks, low uptake</w:t>
            </w:r>
          </w:p>
        </w:tc>
        <w:tc>
          <w:tcPr>
            <w:tcW w:w="2701" w:type="dxa"/>
          </w:tcPr>
          <w:p>
            <w:pPr>
              <w:pStyle w:val="Compact"/>
              <w:keepLines/>
              <w:spacing w:line="240" w:lineRule="auto" w:before="0" w:after="60"/>
              <w:ind w:firstLine="0" w:left="0" w:right="0"/>
              <w:jc w:val="left"/>
            </w:pPr>
            <w:r>
              <w:rPr>
                <w:rFonts w:ascii="Times New Roman" w:hAnsi="Times New Roman"/>
                <w:sz w:val="19"/>
              </w:rPr>
              <w:t xml:space="preserve">Few studies in South Asia; uptake barriers underexplored</w:t>
            </w:r>
          </w:p>
        </w:tc>
        <w:tc>
          <w:tcPr>
            <w:tcW w:w="2701" w:type="dxa"/>
          </w:tcPr>
          <w:p>
            <w:pPr>
              <w:pStyle w:val="Compact"/>
              <w:keepLines/>
              <w:spacing w:line="240" w:lineRule="auto" w:before="0" w:after="60"/>
              <w:ind w:firstLine="0" w:left="0" w:right="0"/>
              <w:jc w:val="left"/>
            </w:pPr>
            <w:r>
              <w:rPr>
                <w:rFonts w:ascii="Times New Roman" w:hAnsi="Times New Roman"/>
                <w:sz w:val="19"/>
              </w:rPr>
              <w:t xml:space="preserve">Subsidise premiums; mandate bundling for agricultural loans</w:t>
            </w:r>
          </w:p>
        </w:tc>
      </w:tr>
      <w:tr>
        <w:tc>
          <w:tcPr>
            <w:tcW w:w="1388" w:type="dxa"/>
          </w:tcPr>
          <w:p>
            <w:pPr>
              <w:pStyle w:val="Compact"/>
              <w:keepLines/>
              <w:spacing w:line="240" w:lineRule="auto" w:before="0" w:after="60"/>
              <w:ind w:firstLine="0" w:left="0" w:right="0"/>
              <w:jc w:val="left"/>
            </w:pPr>
            <w:r>
              <w:rPr>
                <w:rFonts w:ascii="Times New Roman" w:hAnsi="Times New Roman"/>
                <w:sz w:val="19"/>
              </w:rPr>
              <w:t xml:space="preserve">Repayment pressure</w:t>
            </w:r>
          </w:p>
        </w:tc>
        <w:tc>
          <w:tcPr>
            <w:tcW w:w="2569" w:type="dxa"/>
          </w:tcPr>
          <w:p>
            <w:pPr>
              <w:pStyle w:val="Compact"/>
              <w:keepLines/>
              <w:spacing w:line="240" w:lineRule="auto" w:before="0" w:after="60"/>
              <w:ind w:firstLine="0" w:left="0" w:right="0"/>
              <w:jc w:val="left"/>
            </w:pPr>
            <w:r>
              <w:rPr>
                <w:rFonts w:ascii="Times New Roman" w:hAnsi="Times New Roman"/>
                <w:sz w:val="19"/>
              </w:rPr>
              <w:t xml:space="preserve">Moderates all pathways; rigid schedules harmful</w:t>
            </w:r>
          </w:p>
        </w:tc>
        <w:tc>
          <w:tcPr>
            <w:tcW w:w="2701" w:type="dxa"/>
          </w:tcPr>
          <w:p>
            <w:pPr>
              <w:pStyle w:val="Compact"/>
              <w:keepLines/>
              <w:spacing w:line="240" w:lineRule="auto" w:before="0" w:after="60"/>
              <w:ind w:firstLine="0" w:left="0" w:right="0"/>
              <w:jc w:val="left"/>
            </w:pPr>
            <w:r>
              <w:rPr>
                <w:rFonts w:ascii="Times New Roman" w:hAnsi="Times New Roman"/>
                <w:sz w:val="19"/>
              </w:rPr>
              <w:t xml:space="preserve">Rarely measured as primary variable</w:t>
            </w:r>
          </w:p>
        </w:tc>
        <w:tc>
          <w:tcPr>
            <w:tcW w:w="2701" w:type="dxa"/>
          </w:tcPr>
          <w:p>
            <w:pPr>
              <w:pStyle w:val="Compact"/>
              <w:keepLines/>
              <w:spacing w:line="240" w:lineRule="auto" w:before="0" w:after="60"/>
              <w:ind w:firstLine="0" w:left="0" w:right="0"/>
              <w:jc w:val="left"/>
            </w:pPr>
            <w:r>
              <w:rPr>
                <w:rFonts w:ascii="Times New Roman" w:hAnsi="Times New Roman"/>
                <w:sz w:val="19"/>
              </w:rPr>
              <w:t xml:space="preserve">Allow grace periods; use ICT for flexible repayment</w:t>
            </w:r>
          </w:p>
        </w:tc>
      </w:tr>
      <w:tr>
        <w:tc>
          <w:tcPr>
            <w:tcW w:w="1388" w:type="dxa"/>
          </w:tcPr>
          <w:p>
            <w:pPr>
              <w:pStyle w:val="Compact"/>
              <w:keepLines/>
              <w:spacing w:line="240" w:lineRule="auto" w:before="0" w:after="60"/>
              <w:ind w:firstLine="0" w:left="0" w:right="0"/>
              <w:jc w:val="left"/>
            </w:pPr>
            <w:r>
              <w:rPr>
                <w:rFonts w:ascii="Times New Roman" w:hAnsi="Times New Roman"/>
                <w:sz w:val="19"/>
              </w:rPr>
              <w:t xml:space="preserve">Institutional sustainability</w:t>
            </w:r>
          </w:p>
        </w:tc>
        <w:tc>
          <w:tcPr>
            <w:tcW w:w="2569" w:type="dxa"/>
          </w:tcPr>
          <w:p>
            <w:pPr>
              <w:pStyle w:val="Compact"/>
              <w:keepLines/>
              <w:spacing w:line="240" w:lineRule="auto" w:before="0" w:after="60"/>
              <w:ind w:firstLine="0" w:left="0" w:right="0"/>
              <w:jc w:val="left"/>
            </w:pPr>
            <w:r>
              <w:rPr>
                <w:rFonts w:ascii="Times New Roman" w:hAnsi="Times New Roman"/>
                <w:sz w:val="19"/>
              </w:rPr>
              <w:t xml:space="preserve">MFI health affects service continuity</w:t>
            </w:r>
          </w:p>
        </w:tc>
        <w:tc>
          <w:tcPr>
            <w:tcW w:w="2701" w:type="dxa"/>
          </w:tcPr>
          <w:p>
            <w:pPr>
              <w:pStyle w:val="Compact"/>
              <w:keepLines/>
              <w:spacing w:line="240" w:lineRule="auto" w:before="0" w:after="60"/>
              <w:ind w:firstLine="0" w:left="0" w:right="0"/>
              <w:jc w:val="left"/>
            </w:pPr>
            <w:r>
              <w:rPr>
                <w:rFonts w:ascii="Times New Roman" w:hAnsi="Times New Roman"/>
                <w:sz w:val="19"/>
              </w:rPr>
              <w:t xml:space="preserve">Single-country studies; pre-digital focus</w:t>
            </w:r>
          </w:p>
        </w:tc>
        <w:tc>
          <w:tcPr>
            <w:tcW w:w="2701" w:type="dxa"/>
          </w:tcPr>
          <w:p>
            <w:pPr>
              <w:pStyle w:val="Compact"/>
              <w:keepLines/>
              <w:spacing w:line="240" w:lineRule="auto" w:before="0" w:after="60"/>
              <w:ind w:firstLine="0" w:left="0" w:right="0"/>
              <w:jc w:val="left"/>
            </w:pPr>
            <w:r>
              <w:rPr>
                <w:rFonts w:ascii="Times New Roman" w:hAnsi="Times New Roman"/>
                <w:sz w:val="19"/>
              </w:rPr>
              <w:t xml:space="preserve">Strengthen governance; promote ICT adoption; provide crisis refinancing</w:t>
            </w:r>
          </w:p>
        </w:tc>
      </w:tr>
    </w:tbl>
    <w:p>
      <w:pPr>
        <w:pStyle w:val="BodyText"/>
      </w:pPr>
      <w:r>
        <w:rPr>
          <w:i/>
          <w:iCs/>
        </w:rPr>
        <w:t xml:space="preserve">Table 19: Summary of findings from the literature reviewed in section 2.3, with identified limitations and corresponding policy recommendations.</w:t>
      </w:r>
    </w:p>
    <w:bookmarkEnd w:id="50"/>
    <w:bookmarkStart w:id="51" w:name="limitations-of-this-thesis"/>
    <w:p>
      <w:pPr>
        <w:pStyle w:val="Heading3"/>
      </w:pPr>
      <w:r>
        <w:t xml:space="preserve">2.4.6 Limitations of This Thesis</w:t>
      </w:r>
    </w:p>
    <w:p>
      <w:pPr>
        <w:pStyle w:val="FirstParagraph"/>
      </w:pPr>
      <w:r>
        <w:t xml:space="preserve">This thesis, as a narrative literature review, carries its own limitations. The selection of sources, while systematic, did not follow a formal PRISMA protocol, and the search strategy may have missed relevant grey literature or non-English publications. The geographic focus on South Asia, while intentional, means that findings may not generalise to other developing regions. The reliance on published studies introduces publication bias--positive results are more likely to be submitted and accepted than null findings. The conceptual framework proposed in section 2.3 is a product of this synthesis and has not been empirically validated; future research should test its pathways and feedback loops using rigorous methods. Finally, the fast-changing environment of digital microfinance post-2020 is only partially reflected in the reviewed literature, and the implications drawn here should be revisited as new evidence emerges.</w:t>
      </w:r>
    </w:p>
    <w:p>
      <w:pPr>
        <w:pStyle w:val="BodyText"/>
      </w:pPr>
      <w:r>
        <w:t xml:space="preserve">Taken together, this discussion makes clear that microfinance can contribute to rural household resilience in South Asia, but the relationship is mediated by programme design, repayment structures, and institutional health. The evidence points toward a more nuanced understanding--one that acknowledges both the potential and the limits of microfinance as a tool for building lasting resilience. The conceptual framework provides a starting point for future research and policy innovation that moves beyond simple credit provision toward a systemic view of financial inclusion and household welfare.</w:t>
      </w:r>
    </w:p>
    <w:bookmarkEnd w:id="51"/>
    <w:bookmarkEnd w:id="52"/>
    <w:bookmarkEnd w:id="53"/>
    <w:bookmarkStart w:id="54" w:name="conclusion"/>
    <w:p>
      <w:pPr>
        <w:pStyle w:val="Heading1"/>
      </w:pPr>
      <w:r>
        <w:t xml:space="preserve">3. Conclusion</w:t>
      </w:r>
    </w:p>
    <w:p>
      <w:pPr>
        <w:pStyle w:val="FirstParagraph"/>
      </w:pPr>
      <w:r>
        <w:t xml:space="preserve">The question that set this thesis in motion--whether microfinance strengthens household resilience among rural populations in South Asia--has turned out to be far messier than early policy rhetoric suggested. After reviewing the empirical literature across four thematic domains--income smoothing, women’s empowerment, shock coping, and repayment pressure--a consistent pattern emerges: microfinance is neither a universal cure nor a uniform failure. Its effects depend heavily on program design, local social structures, the type of shocks households face, and how resilience itself gets measured.</w:t>
      </w:r>
    </w:p>
    <w:p>
      <w:pPr>
        <w:pStyle w:val="BodyText"/>
      </w:pPr>
      <w:r>
        <w:rPr>
          <w:b/>
          <w:bCs/>
        </w:rPr>
        <w:t xml:space="preserve">Summary of Key Findings</w:t>
      </w:r>
    </w:p>
    <w:p>
      <w:pPr>
        <w:pStyle w:val="BodyText"/>
      </w:pPr>
      <w:r>
        <w:t xml:space="preserve">What does the literature synthesis actually show? That microfinance can support resilience through at least two pathways. First, credit access lets households smooth consumption during lean seasons and invest in income-generating activities, which cuts down the severity of periodic income shortfalls (Mukherjee &amp; Das, 2018; Ghosh &amp; Bhandari, 2013). Second, when microfinance targets women, it’s linked to stronger decision-making power within households--and that tends to lead to more diverse livelihoods and better bargaining over resources (Murshid, 2018; Mafukata, 2022). These pathways are not trivial. They represent real improvements in the lives of millions of rural households.</w:t>
      </w:r>
    </w:p>
    <w:p>
      <w:pPr>
        <w:pStyle w:val="BodyText"/>
      </w:pPr>
      <w:r>
        <w:t xml:space="preserve">Still, the same evidence base reveals serious limitations. Microfinance has far less impact on resilience during major covariate shocks--floods, droughts, or health crises--than on chronic, day-to-day sensitivity (ADHIKARI et al., 2026; Toth, 2020). When entire communities are hit at once, the rigid repayment schedules of most microfinance products can become a source of added stress rather than a buffer. Several studies found that households sometimes sell productive assets or cut consumption to meet repayment deadlines--exactly the opposite of resilience-building behaviour (Toth, 2020). This tension between the promise of microfinance and its real-world performance under crisis conditions is arguably the most important finding of this review.</w:t>
      </w:r>
    </w:p>
    <w:p>
      <w:pPr>
        <w:pStyle w:val="BodyText"/>
      </w:pPr>
      <w:r>
        <w:t xml:space="preserve">Another cross-cutting theme: repayment pressure. The literature suggests that the structure of loan contracts--weekly or monthly instalments, joint liability for group lending, inflexible terms--can erode the resilience microfinance is meant to build (K.S. Ranjani &amp; Poonam Singh, 2019; Tang et al., 2026). Households that borrow in good times often find themselves trapped in debt cycles when a shock reduces their income, especially if the loan product lacks grace periods or rescheduling options.</w:t>
      </w:r>
    </w:p>
    <w:p>
      <w:pPr>
        <w:pStyle w:val="BodyText"/>
      </w:pPr>
      <w:r>
        <w:t xml:space="preserve">This finding underscores the need to move beyond simple binary assessments--does microfinance “work”?--toward a more nuanced understanding of</w:t>
      </w:r>
      <w:r>
        <w:t xml:space="preserve"> </w:t>
      </w:r>
      <w:r>
        <w:rPr>
          <w:i/>
          <w:iCs/>
        </w:rPr>
        <w:t xml:space="preserve">under what conditions</w:t>
      </w:r>
      <w:r>
        <w:t xml:space="preserve"> </w:t>
      </w:r>
      <w:r>
        <w:t xml:space="preserve">it helps or harms.</w:t>
      </w:r>
    </w:p>
    <w:p>
      <w:pPr>
        <w:pStyle w:val="BodyText"/>
      </w:pPr>
      <w:r>
        <w:t xml:space="preserve">The following table captures the key thematic findings and their implications for policy and future research.</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3028"/>
        <w:gridCol w:w="2483"/>
        <w:gridCol w:w="2539"/>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Theme</w:t>
            </w:r>
          </w:p>
        </w:tc>
        <w:tc>
          <w:tcPr>
            <w:tcW w:w="302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Core Evidence</w:t>
            </w:r>
          </w:p>
        </w:tc>
        <w:tc>
          <w:tcPr>
            <w:tcW w:w="248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Conditional Factor</w:t>
            </w:r>
          </w:p>
        </w:tc>
        <w:tc>
          <w:tcPr>
            <w:tcW w:w="253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Policy Implication</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Income smoothing</w:t>
            </w:r>
          </w:p>
        </w:tc>
        <w:tc>
          <w:tcPr>
            <w:tcW w:w="3028" w:type="dxa"/>
          </w:tcPr>
          <w:p>
            <w:pPr>
              <w:pStyle w:val="Compact"/>
              <w:keepLines/>
              <w:spacing w:line="240" w:lineRule="auto" w:before="0" w:after="60"/>
              <w:ind w:firstLine="0" w:left="0" w:right="0"/>
              <w:jc w:val="left"/>
            </w:pPr>
            <w:r>
              <w:rPr>
                <w:rFonts w:ascii="Times New Roman" w:hAnsi="Times New Roman"/>
                <w:sz w:val="19"/>
              </w:rPr>
              <w:t xml:space="preserve">Consumption stability improves with credit access (Mukherjee &amp; Das, 2018; Ghosh &amp; Bhandari, 2013)</w:t>
            </w:r>
          </w:p>
        </w:tc>
        <w:tc>
          <w:tcPr>
            <w:tcW w:w="2483" w:type="dxa"/>
          </w:tcPr>
          <w:p>
            <w:pPr>
              <w:pStyle w:val="Compact"/>
              <w:keepLines/>
              <w:spacing w:line="240" w:lineRule="auto" w:before="0" w:after="60"/>
              <w:ind w:firstLine="0" w:left="0" w:right="0"/>
              <w:jc w:val="left"/>
            </w:pPr>
            <w:r>
              <w:rPr>
                <w:rFonts w:ascii="Times New Roman" w:hAnsi="Times New Roman"/>
                <w:sz w:val="19"/>
              </w:rPr>
              <w:t xml:space="preserve">Loan use - productive vs. Consumption</w:t>
            </w:r>
          </w:p>
        </w:tc>
        <w:tc>
          <w:tcPr>
            <w:tcW w:w="2539" w:type="dxa"/>
          </w:tcPr>
          <w:p>
            <w:pPr>
              <w:pStyle w:val="Compact"/>
              <w:keepLines/>
              <w:spacing w:line="240" w:lineRule="auto" w:before="0" w:after="60"/>
              <w:ind w:firstLine="0" w:left="0" w:right="0"/>
              <w:jc w:val="left"/>
            </w:pPr>
            <w:r>
              <w:rPr>
                <w:rFonts w:ascii="Times New Roman" w:hAnsi="Times New Roman"/>
                <w:sz w:val="19"/>
              </w:rPr>
              <w:t xml:space="preserve">Combine credit with savings products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Women’s empowerment</w:t>
            </w:r>
          </w:p>
        </w:tc>
        <w:tc>
          <w:tcPr>
            <w:tcW w:w="3028" w:type="dxa"/>
          </w:tcPr>
          <w:p>
            <w:pPr>
              <w:pStyle w:val="Compact"/>
              <w:keepLines/>
              <w:spacing w:line="240" w:lineRule="auto" w:before="0" w:after="60"/>
              <w:ind w:firstLine="0" w:left="0" w:right="0"/>
              <w:jc w:val="left"/>
            </w:pPr>
            <w:r>
              <w:rPr>
                <w:rFonts w:ascii="Times New Roman" w:hAnsi="Times New Roman"/>
                <w:sz w:val="19"/>
              </w:rPr>
              <w:t xml:space="preserve">Decision-making power increases (Murshid, 2018; Mafukata, 2022)</w:t>
            </w:r>
          </w:p>
        </w:tc>
        <w:tc>
          <w:tcPr>
            <w:tcW w:w="2483" w:type="dxa"/>
          </w:tcPr>
          <w:p>
            <w:pPr>
              <w:pStyle w:val="Compact"/>
              <w:keepLines/>
              <w:spacing w:line="240" w:lineRule="auto" w:before="0" w:after="60"/>
              <w:ind w:firstLine="0" w:left="0" w:right="0"/>
              <w:jc w:val="left"/>
            </w:pPr>
            <w:r>
              <w:rPr>
                <w:rFonts w:ascii="Times New Roman" w:hAnsi="Times New Roman"/>
                <w:sz w:val="19"/>
              </w:rPr>
              <w:t xml:space="preserve">Social norms, male backlash</w:t>
            </w:r>
          </w:p>
        </w:tc>
        <w:tc>
          <w:tcPr>
            <w:tcW w:w="2539" w:type="dxa"/>
          </w:tcPr>
          <w:p>
            <w:pPr>
              <w:pStyle w:val="Compact"/>
              <w:keepLines/>
              <w:spacing w:line="240" w:lineRule="auto" w:before="0" w:after="60"/>
              <w:ind w:firstLine="0" w:left="0" w:right="0"/>
              <w:jc w:val="left"/>
            </w:pPr>
            <w:r>
              <w:rPr>
                <w:rFonts w:ascii="Times New Roman" w:hAnsi="Times New Roman"/>
                <w:sz w:val="19"/>
              </w:rPr>
              <w:t xml:space="preserve">Design gender-sensitive programmes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Shock coping</w:t>
            </w:r>
          </w:p>
        </w:tc>
        <w:tc>
          <w:tcPr>
            <w:tcW w:w="3028" w:type="dxa"/>
          </w:tcPr>
          <w:p>
            <w:pPr>
              <w:pStyle w:val="Compact"/>
              <w:keepLines/>
              <w:spacing w:line="240" w:lineRule="auto" w:before="0" w:after="60"/>
              <w:ind w:firstLine="0" w:left="0" w:right="0"/>
              <w:jc w:val="left"/>
            </w:pPr>
            <w:r>
              <w:rPr>
                <w:rFonts w:ascii="Times New Roman" w:hAnsi="Times New Roman"/>
                <w:sz w:val="19"/>
              </w:rPr>
              <w:t xml:space="preserve">Mixed - limited for covariate shocks (ADHIKARI et al., 2026; Toth, 2020)</w:t>
            </w:r>
          </w:p>
        </w:tc>
        <w:tc>
          <w:tcPr>
            <w:tcW w:w="2483" w:type="dxa"/>
          </w:tcPr>
          <w:p>
            <w:pPr>
              <w:pStyle w:val="Compact"/>
              <w:keepLines/>
              <w:spacing w:line="240" w:lineRule="auto" w:before="0" w:after="60"/>
              <w:ind w:firstLine="0" w:left="0" w:right="0"/>
              <w:jc w:val="left"/>
            </w:pPr>
            <w:r>
              <w:rPr>
                <w:rFonts w:ascii="Times New Roman" w:hAnsi="Times New Roman"/>
                <w:sz w:val="19"/>
              </w:rPr>
              <w:t xml:space="preserve">Loan flexibility, crisis co-occurrence</w:t>
            </w:r>
          </w:p>
        </w:tc>
        <w:tc>
          <w:tcPr>
            <w:tcW w:w="2539" w:type="dxa"/>
          </w:tcPr>
          <w:p>
            <w:pPr>
              <w:pStyle w:val="Compact"/>
              <w:keepLines/>
              <w:spacing w:line="240" w:lineRule="auto" w:before="0" w:after="60"/>
              <w:ind w:firstLine="0" w:left="0" w:right="0"/>
              <w:jc w:val="left"/>
            </w:pPr>
            <w:r>
              <w:rPr>
                <w:rFonts w:ascii="Times New Roman" w:hAnsi="Times New Roman"/>
                <w:sz w:val="19"/>
              </w:rPr>
              <w:t xml:space="preserve">Integrate microinsurance and grace periods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Repayment pressure</w:t>
            </w:r>
          </w:p>
        </w:tc>
        <w:tc>
          <w:tcPr>
            <w:tcW w:w="3028" w:type="dxa"/>
          </w:tcPr>
          <w:p>
            <w:pPr>
              <w:pStyle w:val="Compact"/>
              <w:keepLines/>
              <w:spacing w:line="240" w:lineRule="auto" w:before="0" w:after="60"/>
              <w:ind w:firstLine="0" w:left="0" w:right="0"/>
              <w:jc w:val="left"/>
            </w:pPr>
            <w:r>
              <w:rPr>
                <w:rFonts w:ascii="Times New Roman" w:hAnsi="Times New Roman"/>
                <w:sz w:val="19"/>
              </w:rPr>
              <w:t xml:space="preserve">Debt stress reduces resilience (K.S. Ranjani &amp; Poonam Singh, 2019; Tang et al., 2026)</w:t>
            </w:r>
          </w:p>
        </w:tc>
        <w:tc>
          <w:tcPr>
            <w:tcW w:w="2483" w:type="dxa"/>
          </w:tcPr>
          <w:p>
            <w:pPr>
              <w:pStyle w:val="Compact"/>
              <w:keepLines/>
              <w:spacing w:line="240" w:lineRule="auto" w:before="0" w:after="60"/>
              <w:ind w:firstLine="0" w:left="0" w:right="0"/>
              <w:jc w:val="left"/>
            </w:pPr>
            <w:r>
              <w:rPr>
                <w:rFonts w:ascii="Times New Roman" w:hAnsi="Times New Roman"/>
                <w:sz w:val="19"/>
              </w:rPr>
              <w:t xml:space="preserve">Frequency, group liability, interest rate</w:t>
            </w:r>
          </w:p>
        </w:tc>
        <w:tc>
          <w:tcPr>
            <w:tcW w:w="2539" w:type="dxa"/>
          </w:tcPr>
          <w:p>
            <w:pPr>
              <w:pStyle w:val="Compact"/>
              <w:keepLines/>
              <w:spacing w:line="240" w:lineRule="auto" w:before="0" w:after="60"/>
              <w:ind w:firstLine="0" w:left="0" w:right="0"/>
              <w:jc w:val="left"/>
            </w:pPr>
            <w:r>
              <w:rPr>
                <w:rFonts w:ascii="Times New Roman" w:hAnsi="Times New Roman"/>
                <w:sz w:val="19"/>
              </w:rPr>
              <w:t xml:space="preserve">Offer flexible repayment contracts</w:t>
            </w:r>
          </w:p>
        </w:tc>
      </w:tr>
    </w:tbl>
    <w:p>
      <w:pPr>
        <w:pStyle w:val="BodyText"/>
      </w:pPr>
      <w:r>
        <w:rPr>
          <w:i/>
          <w:iCs/>
        </w:rPr>
        <w:t xml:space="preserve">Table 20: Summary of thematic findings from the literature review.</w:t>
      </w:r>
    </w:p>
    <w:p>
      <w:pPr>
        <w:pStyle w:val="BodyText"/>
      </w:pPr>
      <w:r>
        <w:rPr>
          <w:b/>
          <w:bCs/>
        </w:rPr>
        <w:t xml:space="preserve">Limitations of the Thesis</w:t>
      </w:r>
    </w:p>
    <w:p>
      <w:pPr>
        <w:pStyle w:val="BodyText"/>
      </w:pPr>
      <w:r>
        <w:t xml:space="preserve">The boundaries of this analysis deserve acknowledgment. As a narrative literature review rather than a systematic meta-analysis, the findings are shaped by the scope of the search strategy and the sources chosen. The review zeroed in on English-language, peer-reviewed literature and major working papers. A broader search--covering grey literature, local-language studies, and unpublished programme evaluations--might surface additional evidence, especially from South Asian institutional sources. What's more, the heterogeneity of outcome measures across studies (asset indices, food security scales, psychological wellbeing metrics, and so on) makes direct comparison difficult and limits how far one can generalise across studies. One might expect a definitive answer from a meta-analysis, but this thesis offers indicative patterns rather than causal estimates.</w:t>
      </w:r>
    </w:p>
    <w:p>
      <w:pPr>
        <w:pStyle w:val="BodyText"/>
      </w:pPr>
      <w:r>
        <w:t xml:space="preserve">These limitations mean the conclusions should be read as patterns, not definitive causal claims.</w:t>
      </w:r>
    </w:p>
    <w:p>
      <w:pPr>
        <w:pStyle w:val="BodyText"/>
      </w:pPr>
      <w:r>
        <w:rPr>
          <w:b/>
          <w:bCs/>
        </w:rPr>
        <w:t xml:space="preserve">Implications for Future Research</w:t>
      </w:r>
    </w:p>
    <w:p>
      <w:pPr>
        <w:pStyle w:val="BodyText"/>
      </w:pPr>
      <w:r>
        <w:t xml:space="preserve">Several gaps in the literature point toward productive directions for future work. One urgent need is for longitudinal studies that track the same households over five years or more. Most existing research relies on cross-sectional or short-panel designs that can’t capture the dynamic interplay between microfinance participation, asset accumulation, and resilience through multiple shock cycles (Pica-Ciamarra et al., 2019). Another priority is to disaggregate effects by loan product type--not all microfinance is the same, and a loan with a six-month grace period and built-in microinsurance will probably produce different resilience outcomes than a standard weekly repayment product. The repayment pressure dimension also deserves dedicated empirical attention. Currently, few studies explicitly measure how often households resort to coping strategies like borrowing from moneylenders to repay an MFI loan; that kind of data would illuminate the net effect on susceptibility (K.S. Ranjani &amp; Poonam Singh, 2019). Finally, the intersection of microfinance with other social protection instruments--cash transfers, public works programmes, health insurance--remains underexplored. Understanding how these mechanisms interact could inform more coherent policy packages that combine short-term relief with long-term resilience building.</w:t>
      </w:r>
    </w:p>
    <w:p>
      <w:pPr>
        <w:pStyle w:val="BodyText"/>
      </w:pPr>
      <w:r>
        <w:rPr>
          <w:b/>
          <w:bCs/>
        </w:rPr>
        <w:t xml:space="preserve">Implications for Policy and Practice</w:t>
      </w:r>
    </w:p>
    <w:p>
      <w:pPr>
        <w:pStyle w:val="BodyText"/>
      </w:pPr>
      <w:r>
        <w:t xml:space="preserve">For practitioners and policymakers, the findings carry a clear message: microfinance can be a useful tool for resilience, but only if resilience is a deliberate design goal rather than a presumed by-product of credit provision. That implies several concrete actions. Loan products should incorporate flexible repayment schedules that allow deferment during crises--ideally linked to objective triggers like local rainfall deficits or epidemic outbreaks. Savings components should be mandatory or strongly incentivised, because the evidence points toward accumulated savings providing a more reliable buffer than credit alone (Ansar et al., 2023). Group lending models need evaluation for their unintended effects: joint liability reduces default rates but can trap entire groups in debt spirals when one member gets hit by a shock. Also, microfinance programmes operating in disaster-prone regions should be integrated with microinsurance covering health emergencies, crop failure, or livestock loss--standalone credit clearly isn’t enough for covariate risk management (ADHIKARI et al., 2026).</w:t>
      </w:r>
    </w:p>
    <w:p>
      <w:pPr>
        <w:pStyle w:val="BodyText"/>
      </w:pPr>
      <w:r>
        <w:rPr>
          <w:b/>
          <w:bCs/>
        </w:rPr>
        <w:t xml:space="preserve">Concluding Remarks</w:t>
      </w:r>
    </w:p>
    <w:p>
      <w:pPr>
        <w:pStyle w:val="BodyText"/>
      </w:pPr>
      <w:r>
        <w:t xml:space="preserve">Microfinance remains a prominent instrument in the development toolkit, and the evidence reviewed here confirms it can contribute meaningfully to household resilience in rural South Asia--especially through income smoothing and women’s empowerment pathways. Yet the same evidence exposes the limits of credit-only approaches. When programmes fail to account for crisis contexts, repayment burdens, and the heterogeneity of household needs, they risk undermining the resilience they aim to foster. The way forward is not to abandon microfinance but to redesign it: embed flexibility, link it with insurance and savings, and rigorously evaluate outcomes over longer time horizons. A more adaptive microfinance sector, informed by the nuanced evidence compiled in this thesis, holds genuine potential to help South Asia’s rural households navigate an increasingly uncertain future.</w:t>
      </w:r>
    </w:p>
    <w:bookmarkEnd w:id="54"/>
    <w:bookmarkStart w:id="60" w:name="appendices"/>
    <w:p>
      <w:pPr>
        <w:pStyle w:val="Heading1"/>
      </w:pPr>
      <w:r>
        <w:t xml:space="preserve">4. Appendices</w:t>
      </w:r>
    </w:p>
    <w:bookmarkStart w:id="55" w:name="X9f2e86f9141529a702bbdd23850d00350b018a5"/>
    <w:p>
      <w:pPr>
        <w:pStyle w:val="Heading2"/>
      </w:pPr>
      <w:r>
        <w:t xml:space="preserve">Appendix A: Conceptual Framework - Pathways from Microfinance to Household Resilience</w:t>
      </w:r>
    </w:p>
    <w:p>
      <w:pPr>
        <w:pStyle w:val="FirstParagraph"/>
      </w:pPr>
      <w:r>
        <w:t xml:space="preserve">The synthesis of literature presented in this thesis supports a multi-pathway conceptual framework linking microfinance participation to household resilience in rural South Asia. The framework distinguishes between direct financial mechanisms and indirect socio-economic mediators, acknowledging that resilience outcomes vary by context, program design, and household characteristics.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2150"/>
        <w:gridCol w:w="1564"/>
        <w:gridCol w:w="1940"/>
        <w:gridCol w:w="2396"/>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Pathway</w:t>
            </w:r>
          </w:p>
        </w:tc>
        <w:tc>
          <w:tcPr>
            <w:tcW w:w="215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Factor</w:t>
            </w:r>
          </w:p>
        </w:tc>
        <w:tc>
          <w:tcPr>
            <w:tcW w:w="156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Primary Outcome</w:t>
            </w:r>
          </w:p>
        </w:tc>
        <w:tc>
          <w:tcPr>
            <w:tcW w:w="194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Mediating Factors</w:t>
            </w:r>
          </w:p>
        </w:tc>
        <w:tc>
          <w:tcPr>
            <w:tcW w:w="2396"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Evidence Base</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Income Smoothing</w:t>
            </w:r>
          </w:p>
        </w:tc>
        <w:tc>
          <w:tcPr>
            <w:tcW w:w="2150" w:type="dxa"/>
          </w:tcPr>
          <w:p>
            <w:pPr>
              <w:pStyle w:val="Compact"/>
              <w:keepLines/>
              <w:spacing w:line="240" w:lineRule="auto" w:before="0" w:after="60"/>
              <w:ind w:firstLine="0" w:left="0" w:right="0"/>
              <w:jc w:val="left"/>
            </w:pPr>
            <w:r>
              <w:rPr>
                <w:rFonts w:ascii="Times New Roman" w:hAnsi="Times New Roman"/>
                <w:sz w:val="17"/>
              </w:rPr>
              <w:t xml:space="preserve">Consumption loans during lean seasons</w:t>
            </w:r>
          </w:p>
        </w:tc>
        <w:tc>
          <w:tcPr>
            <w:tcW w:w="1564" w:type="dxa"/>
          </w:tcPr>
          <w:p>
            <w:pPr>
              <w:pStyle w:val="Compact"/>
              <w:keepLines/>
              <w:spacing w:line="240" w:lineRule="auto" w:before="0" w:after="60"/>
              <w:ind w:firstLine="0" w:left="0" w:right="0"/>
              <w:jc w:val="left"/>
            </w:pPr>
            <w:r>
              <w:rPr>
                <w:rFonts w:ascii="Times New Roman" w:hAnsi="Times New Roman"/>
                <w:sz w:val="17"/>
              </w:rPr>
              <w:t xml:space="preserve">Reduced consumption volatility</w:t>
            </w:r>
          </w:p>
        </w:tc>
        <w:tc>
          <w:tcPr>
            <w:tcW w:w="1940" w:type="dxa"/>
          </w:tcPr>
          <w:p>
            <w:pPr>
              <w:pStyle w:val="Compact"/>
              <w:keepLines/>
              <w:spacing w:line="240" w:lineRule="auto" w:before="0" w:after="60"/>
              <w:ind w:firstLine="0" w:left="0" w:right="0"/>
              <w:jc w:val="left"/>
            </w:pPr>
            <w:r>
              <w:rPr>
                <w:rFonts w:ascii="Times New Roman" w:hAnsi="Times New Roman"/>
                <w:sz w:val="17"/>
              </w:rPr>
              <w:t xml:space="preserve">Loan size, repayment schedule</w:t>
            </w:r>
          </w:p>
        </w:tc>
        <w:tc>
          <w:tcPr>
            <w:tcW w:w="2396" w:type="dxa"/>
          </w:tcPr>
          <w:p>
            <w:pPr>
              <w:pStyle w:val="Compact"/>
              <w:keepLines/>
              <w:spacing w:line="240" w:lineRule="auto" w:before="0" w:after="60"/>
              <w:ind w:firstLine="0" w:left="0" w:right="0"/>
              <w:jc w:val="left"/>
            </w:pPr>
            <w:r>
              <w:rPr>
                <w:rFonts w:ascii="Times New Roman" w:hAnsi="Times New Roman"/>
                <w:sz w:val="17"/>
              </w:rPr>
              <w:t xml:space="preserve">(Mukherjee &amp; Das, 2018), (Ghosh &amp; Bhandari, 2013)</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Asset Accumulation</w:t>
            </w:r>
          </w:p>
        </w:tc>
        <w:tc>
          <w:tcPr>
            <w:tcW w:w="2150" w:type="dxa"/>
          </w:tcPr>
          <w:p>
            <w:pPr>
              <w:pStyle w:val="Compact"/>
              <w:keepLines/>
              <w:spacing w:line="240" w:lineRule="auto" w:before="0" w:after="60"/>
              <w:ind w:firstLine="0" w:left="0" w:right="0"/>
              <w:jc w:val="left"/>
            </w:pPr>
            <w:r>
              <w:rPr>
                <w:rFonts w:ascii="Times New Roman" w:hAnsi="Times New Roman"/>
                <w:sz w:val="17"/>
              </w:rPr>
              <w:t xml:space="preserve">Investment in livestock, equipment</w:t>
            </w:r>
          </w:p>
        </w:tc>
        <w:tc>
          <w:tcPr>
            <w:tcW w:w="1564" w:type="dxa"/>
          </w:tcPr>
          <w:p>
            <w:pPr>
              <w:pStyle w:val="Compact"/>
              <w:keepLines/>
              <w:spacing w:line="240" w:lineRule="auto" w:before="0" w:after="60"/>
              <w:ind w:firstLine="0" w:left="0" w:right="0"/>
              <w:jc w:val="left"/>
            </w:pPr>
            <w:r>
              <w:rPr>
                <w:rFonts w:ascii="Times New Roman" w:hAnsi="Times New Roman"/>
                <w:sz w:val="17"/>
              </w:rPr>
              <w:t xml:space="preserve">Buffer stock for emergencies</w:t>
            </w:r>
          </w:p>
        </w:tc>
        <w:tc>
          <w:tcPr>
            <w:tcW w:w="1940" w:type="dxa"/>
          </w:tcPr>
          <w:p>
            <w:pPr>
              <w:pStyle w:val="Compact"/>
              <w:keepLines/>
              <w:spacing w:line="240" w:lineRule="auto" w:before="0" w:after="60"/>
              <w:ind w:firstLine="0" w:left="0" w:right="0"/>
              <w:jc w:val="left"/>
            </w:pPr>
            <w:r>
              <w:rPr>
                <w:rFonts w:ascii="Times New Roman" w:hAnsi="Times New Roman"/>
                <w:sz w:val="17"/>
              </w:rPr>
              <w:t xml:space="preserve">Asset liquidity, market access</w:t>
            </w:r>
          </w:p>
        </w:tc>
        <w:tc>
          <w:tcPr>
            <w:tcW w:w="2396" w:type="dxa"/>
          </w:tcPr>
          <w:p>
            <w:pPr>
              <w:pStyle w:val="Compact"/>
              <w:keepLines/>
              <w:spacing w:line="240" w:lineRule="auto" w:before="0" w:after="60"/>
              <w:ind w:firstLine="0" w:left="0" w:right="0"/>
              <w:jc w:val="left"/>
            </w:pPr>
            <w:r>
              <w:rPr>
                <w:rFonts w:ascii="Times New Roman" w:hAnsi="Times New Roman"/>
                <w:sz w:val="17"/>
              </w:rPr>
              <w:t xml:space="preserve">(Pica-Ciamarra et al., 2019)</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Women's Empowerment</w:t>
            </w:r>
          </w:p>
        </w:tc>
        <w:tc>
          <w:tcPr>
            <w:tcW w:w="2150" w:type="dxa"/>
          </w:tcPr>
          <w:p>
            <w:pPr>
              <w:pStyle w:val="Compact"/>
              <w:keepLines/>
              <w:spacing w:line="240" w:lineRule="auto" w:before="0" w:after="60"/>
              <w:ind w:firstLine="0" w:left="0" w:right="0"/>
              <w:jc w:val="left"/>
            </w:pPr>
            <w:r>
              <w:rPr>
                <w:rFonts w:ascii="Times New Roman" w:hAnsi="Times New Roman"/>
                <w:sz w:val="17"/>
              </w:rPr>
              <w:t xml:space="preserve">Female borrower agency, household bargaining</w:t>
            </w:r>
          </w:p>
        </w:tc>
        <w:tc>
          <w:tcPr>
            <w:tcW w:w="1564" w:type="dxa"/>
          </w:tcPr>
          <w:p>
            <w:pPr>
              <w:pStyle w:val="Compact"/>
              <w:keepLines/>
              <w:spacing w:line="240" w:lineRule="auto" w:before="0" w:after="60"/>
              <w:ind w:firstLine="0" w:left="0" w:right="0"/>
              <w:jc w:val="left"/>
            </w:pPr>
            <w:r>
              <w:rPr>
                <w:rFonts w:ascii="Times New Roman" w:hAnsi="Times New Roman"/>
                <w:sz w:val="17"/>
              </w:rPr>
              <w:t xml:space="preserve">Diversified income streams</w:t>
            </w:r>
          </w:p>
        </w:tc>
        <w:tc>
          <w:tcPr>
            <w:tcW w:w="1940" w:type="dxa"/>
          </w:tcPr>
          <w:p>
            <w:pPr>
              <w:pStyle w:val="Compact"/>
              <w:keepLines/>
              <w:spacing w:line="240" w:lineRule="auto" w:before="0" w:after="60"/>
              <w:ind w:firstLine="0" w:left="0" w:right="0"/>
              <w:jc w:val="left"/>
            </w:pPr>
            <w:r>
              <w:rPr>
                <w:rFonts w:ascii="Times New Roman" w:hAnsi="Times New Roman"/>
                <w:sz w:val="17"/>
              </w:rPr>
              <w:t xml:space="preserve">Social norms, intra-household dynamics</w:t>
            </w:r>
          </w:p>
        </w:tc>
        <w:tc>
          <w:tcPr>
            <w:tcW w:w="2396" w:type="dxa"/>
          </w:tcPr>
          <w:p>
            <w:pPr>
              <w:pStyle w:val="Compact"/>
              <w:keepLines/>
              <w:spacing w:line="240" w:lineRule="auto" w:before="0" w:after="60"/>
              <w:ind w:firstLine="0" w:left="0" w:right="0"/>
              <w:jc w:val="left"/>
            </w:pPr>
            <w:r>
              <w:rPr>
                <w:rFonts w:ascii="Times New Roman" w:hAnsi="Times New Roman"/>
                <w:sz w:val="17"/>
              </w:rPr>
              <w:t xml:space="preserve">(Murshid, 2018), (Mafukata, 2022)</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Shock Coping</w:t>
            </w:r>
          </w:p>
        </w:tc>
        <w:tc>
          <w:tcPr>
            <w:tcW w:w="2150" w:type="dxa"/>
          </w:tcPr>
          <w:p>
            <w:pPr>
              <w:pStyle w:val="Compact"/>
              <w:keepLines/>
              <w:spacing w:line="240" w:lineRule="auto" w:before="0" w:after="60"/>
              <w:ind w:firstLine="0" w:left="0" w:right="0"/>
              <w:jc w:val="left"/>
            </w:pPr>
            <w:r>
              <w:rPr>
                <w:rFonts w:ascii="Times New Roman" w:hAnsi="Times New Roman"/>
                <w:sz w:val="17"/>
              </w:rPr>
              <w:t xml:space="preserve">Emergency loans, microinsurance</w:t>
            </w:r>
          </w:p>
        </w:tc>
        <w:tc>
          <w:tcPr>
            <w:tcW w:w="1564" w:type="dxa"/>
          </w:tcPr>
          <w:p>
            <w:pPr>
              <w:pStyle w:val="Compact"/>
              <w:keepLines/>
              <w:spacing w:line="240" w:lineRule="auto" w:before="0" w:after="60"/>
              <w:ind w:firstLine="0" w:left="0" w:right="0"/>
              <w:jc w:val="left"/>
            </w:pPr>
            <w:r>
              <w:rPr>
                <w:rFonts w:ascii="Times New Roman" w:hAnsi="Times New Roman"/>
                <w:sz w:val="17"/>
              </w:rPr>
              <w:t xml:space="preserve">Reduced distress asset sales</w:t>
            </w:r>
          </w:p>
        </w:tc>
        <w:tc>
          <w:tcPr>
            <w:tcW w:w="1940" w:type="dxa"/>
          </w:tcPr>
          <w:p>
            <w:pPr>
              <w:pStyle w:val="Compact"/>
              <w:keepLines/>
              <w:spacing w:line="240" w:lineRule="auto" w:before="0" w:after="60"/>
              <w:ind w:firstLine="0" w:left="0" w:right="0"/>
              <w:jc w:val="left"/>
            </w:pPr>
            <w:r>
              <w:rPr>
                <w:rFonts w:ascii="Times New Roman" w:hAnsi="Times New Roman"/>
                <w:sz w:val="17"/>
              </w:rPr>
              <w:t xml:space="preserve">Product design, institutional reach</w:t>
            </w:r>
          </w:p>
        </w:tc>
        <w:tc>
          <w:tcPr>
            <w:tcW w:w="2396" w:type="dxa"/>
          </w:tcPr>
          <w:p>
            <w:pPr>
              <w:pStyle w:val="Compact"/>
              <w:keepLines/>
              <w:spacing w:line="240" w:lineRule="auto" w:before="0" w:after="60"/>
              <w:ind w:firstLine="0" w:left="0" w:right="0"/>
              <w:jc w:val="left"/>
            </w:pPr>
            <w:r>
              <w:rPr>
                <w:rFonts w:ascii="Times New Roman" w:hAnsi="Times New Roman"/>
                <w:sz w:val="17"/>
              </w:rPr>
              <w:t xml:space="preserve">(ADHIKARI et al., 2026), (Ansar et al., 2023)</w:t>
            </w:r>
          </w:p>
        </w:tc>
      </w:tr>
    </w:tbl>
    <w:p>
      <w:pPr>
        <w:pStyle w:val="BodyText"/>
      </w:pPr>
      <w:r>
        <w:rPr>
          <w:i/>
          <w:iCs/>
        </w:rPr>
        <w:t xml:space="preserve">Table A1: Conceptual Pathways Linking Microfinance to Household Resilience.</w:t>
      </w:r>
    </w:p>
    <w:p>
      <w:pPr>
        <w:pStyle w:val="BodyText"/>
      </w:pPr>
      <w:r>
        <w:t xml:space="preserve">The income smoothing pathway operates primarily through short-term credit that allows households to maintain consumption during agricultural lean periods without resorting to costly coping strategies such as high-interest moneylender borrowing or distress sales of productive assets. Mukherjee and Das (2018) reveals that access to microfinance positively influences both investment decisions and consumption smoothing outcomes, though the magnitude of these effects depends critically on loan terms and repayment schedules. Ghosh and Bhandari (2013) similarly show that microfinance-supported rural entrepreneurship generates supplementary income streams that reduce the severity of seasonal shortfalls.</w:t>
      </w:r>
    </w:p>
    <w:p>
      <w:pPr>
        <w:pStyle w:val="BodyText"/>
      </w:pPr>
      <w:r>
        <w:t xml:space="preserve">The asset accumulation pathway operates over a longer time horizon. Households that use microfinance to acquire productive assets--particularly livestock--build a buffer that can be drawn down during crises. Pica-Ciamarra and colleagues (Pica-Ciamarra et al., 2019) provide cross-country evidence that livestock ownership is positively associated with rural household income and serves as a consumption-smoothing process during shocks. However, the effectiveness of this pathway depends on asset liquidity and the depth of local markets for buying and selling livestock.</w:t>
      </w:r>
    </w:p>
    <w:p>
      <w:pPr>
        <w:pStyle w:val="BodyText"/>
      </w:pPr>
      <w:r>
        <w:t xml:space="preserve">The women's empowerment pathway reflects the institutional design of many South Asian microfinance programs, which target female borrowers specifically. Murshid (2018) finds that microfinance participation is associated with increased decision-making power for women within Bangladeshi households, which in turn enables more diversified income generation. Mafukata (2022) illustrates how rural women who adopt microfinance-based entrepreneurship achieve self-empowerment, though social and cultural constraints frequently mediate these effects.</w:t>
      </w:r>
    </w:p>
    <w:p>
      <w:pPr>
        <w:pStyle w:val="BodyText"/>
      </w:pPr>
      <w:r>
        <w:t xml:space="preserve">The shock coping pathway encompasses both preventive and responsive mechanisms. Ansar, Hess, and Klapper (Ansar et al., 2023) discuss how savings and credit instruments build resilience in emergencies, while Adhikari and colleagues (ADHIKARI et al., 2026) provide evidence that microinsurance adoption improves household response to income shocks, reducing the likelihood of irreversible welfare losses.</w:t>
      </w:r>
    </w:p>
    <w:bookmarkEnd w:id="55"/>
    <w:bookmarkStart w:id="56" w:name="X941580d94d6ae1d999c8707f5b67d27c50cadb5"/>
    <w:p>
      <w:pPr>
        <w:pStyle w:val="Heading2"/>
      </w:pPr>
      <w:r>
        <w:t xml:space="preserve">Appendix B: Supplementary Data and Case Study Profiles</w:t>
      </w:r>
    </w:p>
    <w:p>
      <w:pPr>
        <w:pStyle w:val="FirstParagraph"/>
      </w:pPr>
      <w:r>
        <w:t xml:space="preserve">The following table profiles selected microfinance institutions (MFIs) operating across South Asia, illustrating the diversity of institutional models that underpin the empirical literature reviewed in this thesis.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1310"/>
        <w:gridCol w:w="2379"/>
        <w:gridCol w:w="1518"/>
        <w:gridCol w:w="2843"/>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MFI Name</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Country</w:t>
            </w:r>
          </w:p>
        </w:tc>
        <w:tc>
          <w:tcPr>
            <w:tcW w:w="237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Lending Model</w:t>
            </w:r>
          </w:p>
        </w:tc>
        <w:tc>
          <w:tcPr>
            <w:tcW w:w="151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Target Clientele</w:t>
            </w:r>
          </w:p>
        </w:tc>
        <w:tc>
          <w:tcPr>
            <w:tcW w:w="284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Key Features</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BRAC</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Bangladesh</w:t>
            </w:r>
          </w:p>
        </w:tc>
        <w:tc>
          <w:tcPr>
            <w:tcW w:w="2379" w:type="dxa"/>
          </w:tcPr>
          <w:p>
            <w:pPr>
              <w:pStyle w:val="Compact"/>
              <w:keepLines/>
              <w:spacing w:line="240" w:lineRule="auto" w:before="0" w:after="60"/>
              <w:ind w:firstLine="0" w:left="0" w:right="0"/>
              <w:jc w:val="left"/>
            </w:pPr>
            <w:r>
              <w:rPr>
                <w:rFonts w:ascii="Times New Roman" w:hAnsi="Times New Roman"/>
                <w:sz w:val="17"/>
              </w:rPr>
              <w:t xml:space="preserve">Group lending with comprehensive services</w:t>
            </w:r>
          </w:p>
        </w:tc>
        <w:tc>
          <w:tcPr>
            <w:tcW w:w="1518" w:type="dxa"/>
          </w:tcPr>
          <w:p>
            <w:pPr>
              <w:pStyle w:val="Compact"/>
              <w:keepLines/>
              <w:spacing w:line="240" w:lineRule="auto" w:before="0" w:after="60"/>
              <w:ind w:firstLine="0" w:left="0" w:right="0"/>
              <w:jc w:val="left"/>
            </w:pPr>
            <w:r>
              <w:rPr>
                <w:rFonts w:ascii="Times New Roman" w:hAnsi="Times New Roman"/>
                <w:sz w:val="17"/>
              </w:rPr>
              <w:t xml:space="preserve">Rural women</w:t>
            </w:r>
          </w:p>
        </w:tc>
        <w:tc>
          <w:tcPr>
            <w:tcW w:w="2843" w:type="dxa"/>
          </w:tcPr>
          <w:p>
            <w:pPr>
              <w:pStyle w:val="Compact"/>
              <w:keepLines/>
              <w:spacing w:line="240" w:lineRule="auto" w:before="0" w:after="60"/>
              <w:ind w:firstLine="0" w:left="0" w:right="0"/>
              <w:jc w:val="left"/>
            </w:pPr>
            <w:r>
              <w:rPr>
                <w:rFonts w:ascii="Times New Roman" w:hAnsi="Times New Roman"/>
                <w:sz w:val="17"/>
              </w:rPr>
              <w:t xml:space="preserve">Integrated health, education, social development</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Grameen Bank</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Bangladesh</w:t>
            </w:r>
          </w:p>
        </w:tc>
        <w:tc>
          <w:tcPr>
            <w:tcW w:w="2379" w:type="dxa"/>
          </w:tcPr>
          <w:p>
            <w:pPr>
              <w:pStyle w:val="Compact"/>
              <w:keepLines/>
              <w:spacing w:line="240" w:lineRule="auto" w:before="0" w:after="60"/>
              <w:ind w:firstLine="0" w:left="0" w:right="0"/>
              <w:jc w:val="left"/>
            </w:pPr>
            <w:r>
              <w:rPr>
                <w:rFonts w:ascii="Times New Roman" w:hAnsi="Times New Roman"/>
                <w:sz w:val="17"/>
              </w:rPr>
              <w:t xml:space="preserve">Group-based, progressive lending</w:t>
            </w:r>
          </w:p>
        </w:tc>
        <w:tc>
          <w:tcPr>
            <w:tcW w:w="1518" w:type="dxa"/>
          </w:tcPr>
          <w:p>
            <w:pPr>
              <w:pStyle w:val="Compact"/>
              <w:keepLines/>
              <w:spacing w:line="240" w:lineRule="auto" w:before="0" w:after="60"/>
              <w:ind w:firstLine="0" w:left="0" w:right="0"/>
              <w:jc w:val="left"/>
            </w:pPr>
            <w:r>
              <w:rPr>
                <w:rFonts w:ascii="Times New Roman" w:hAnsi="Times New Roman"/>
                <w:sz w:val="17"/>
              </w:rPr>
              <w:t xml:space="preserve">Landless poor</w:t>
            </w:r>
          </w:p>
        </w:tc>
        <w:tc>
          <w:tcPr>
            <w:tcW w:w="2843" w:type="dxa"/>
          </w:tcPr>
          <w:p>
            <w:pPr>
              <w:pStyle w:val="Compact"/>
              <w:keepLines/>
              <w:spacing w:line="240" w:lineRule="auto" w:before="0" w:after="60"/>
              <w:ind w:firstLine="0" w:left="0" w:right="0"/>
              <w:jc w:val="left"/>
            </w:pPr>
            <w:r>
              <w:rPr>
                <w:rFonts w:ascii="Times New Roman" w:hAnsi="Times New Roman"/>
                <w:sz w:val="17"/>
              </w:rPr>
              <w:t xml:space="preserve">16 decisions, social collateral</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SEWA Bank</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India</w:t>
            </w:r>
          </w:p>
        </w:tc>
        <w:tc>
          <w:tcPr>
            <w:tcW w:w="2379" w:type="dxa"/>
          </w:tcPr>
          <w:p>
            <w:pPr>
              <w:pStyle w:val="Compact"/>
              <w:keepLines/>
              <w:spacing w:line="240" w:lineRule="auto" w:before="0" w:after="60"/>
              <w:ind w:firstLine="0" w:left="0" w:right="0"/>
              <w:jc w:val="left"/>
            </w:pPr>
            <w:r>
              <w:rPr>
                <w:rFonts w:ascii="Times New Roman" w:hAnsi="Times New Roman"/>
                <w:sz w:val="17"/>
              </w:rPr>
              <w:t xml:space="preserve">Cooperative, women-led</w:t>
            </w:r>
          </w:p>
        </w:tc>
        <w:tc>
          <w:tcPr>
            <w:tcW w:w="1518" w:type="dxa"/>
          </w:tcPr>
          <w:p>
            <w:pPr>
              <w:pStyle w:val="Compact"/>
              <w:keepLines/>
              <w:spacing w:line="240" w:lineRule="auto" w:before="0" w:after="60"/>
              <w:ind w:firstLine="0" w:left="0" w:right="0"/>
              <w:jc w:val="left"/>
            </w:pPr>
            <w:r>
              <w:rPr>
                <w:rFonts w:ascii="Times New Roman" w:hAnsi="Times New Roman"/>
                <w:sz w:val="17"/>
              </w:rPr>
              <w:t xml:space="preserve">Informal sector women workers</w:t>
            </w:r>
          </w:p>
        </w:tc>
        <w:tc>
          <w:tcPr>
            <w:tcW w:w="2843" w:type="dxa"/>
          </w:tcPr>
          <w:p>
            <w:pPr>
              <w:pStyle w:val="Compact"/>
              <w:keepLines/>
              <w:spacing w:line="240" w:lineRule="auto" w:before="0" w:after="60"/>
              <w:ind w:firstLine="0" w:left="0" w:right="0"/>
              <w:jc w:val="left"/>
            </w:pPr>
            <w:r>
              <w:rPr>
                <w:rFonts w:ascii="Times New Roman" w:hAnsi="Times New Roman"/>
                <w:sz w:val="17"/>
              </w:rPr>
              <w:t xml:space="preserve">Savings-first, insurance bundled</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Kashf Foundation</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Pakistan</w:t>
            </w:r>
          </w:p>
        </w:tc>
        <w:tc>
          <w:tcPr>
            <w:tcW w:w="2379" w:type="dxa"/>
          </w:tcPr>
          <w:p>
            <w:pPr>
              <w:pStyle w:val="Compact"/>
              <w:keepLines/>
              <w:spacing w:line="240" w:lineRule="auto" w:before="0" w:after="60"/>
              <w:ind w:firstLine="0" w:left="0" w:right="0"/>
              <w:jc w:val="left"/>
            </w:pPr>
            <w:r>
              <w:rPr>
                <w:rFonts w:ascii="Times New Roman" w:hAnsi="Times New Roman"/>
                <w:sz w:val="17"/>
              </w:rPr>
              <w:t xml:space="preserve">Individual and group lending</w:t>
            </w:r>
          </w:p>
        </w:tc>
        <w:tc>
          <w:tcPr>
            <w:tcW w:w="1518" w:type="dxa"/>
          </w:tcPr>
          <w:p>
            <w:pPr>
              <w:pStyle w:val="Compact"/>
              <w:keepLines/>
              <w:spacing w:line="240" w:lineRule="auto" w:before="0" w:after="60"/>
              <w:ind w:firstLine="0" w:left="0" w:right="0"/>
              <w:jc w:val="left"/>
            </w:pPr>
            <w:r>
              <w:rPr>
                <w:rFonts w:ascii="Times New Roman" w:hAnsi="Times New Roman"/>
                <w:sz w:val="17"/>
              </w:rPr>
              <w:t xml:space="preserve">Low-income women</w:t>
            </w:r>
          </w:p>
        </w:tc>
        <w:tc>
          <w:tcPr>
            <w:tcW w:w="2843" w:type="dxa"/>
          </w:tcPr>
          <w:p>
            <w:pPr>
              <w:pStyle w:val="Compact"/>
              <w:keepLines/>
              <w:spacing w:line="240" w:lineRule="auto" w:before="0" w:after="60"/>
              <w:ind w:firstLine="0" w:left="0" w:right="0"/>
              <w:jc w:val="left"/>
            </w:pPr>
            <w:r>
              <w:rPr>
                <w:rFonts w:ascii="Times New Roman" w:hAnsi="Times New Roman"/>
                <w:sz w:val="17"/>
              </w:rPr>
              <w:t xml:space="preserve">Financial literacy training component</w:t>
            </w:r>
          </w:p>
        </w:tc>
      </w:tr>
    </w:tbl>
    <w:p>
      <w:pPr>
        <w:pStyle w:val="BodyText"/>
      </w:pPr>
      <w:r>
        <w:rPr>
          <w:i/>
          <w:iCs/>
        </w:rPr>
        <w:t xml:space="preserve">Table B1: Selected Microfinance Institutions in South Asia.</w:t>
      </w:r>
    </w:p>
    <w:p>
      <w:pPr>
        <w:pStyle w:val="BodyText"/>
      </w:pPr>
      <w:r>
        <w:t xml:space="preserve">BRAC, one of the largest development organisations in the world, operates a group-lending model that integrates microfinance with health, education, and social development programmes. Hossain (2012) provides a detailed village-level case study of BRAC's operations, documenting both income improvements and the complexities of measuring impact in real-world settings. The Grameen Bank model pioneered the group-based lending methodology that has been replicated across the region, though its specific features--such as the "16 Decisions" social code--vary considerably across adaptations.</w:t>
      </w:r>
    </w:p>
    <w:p>
      <w:pPr>
        <w:pStyle w:val="BodyText"/>
      </w:pPr>
      <w:r>
        <w:t xml:space="preserve">SEWA Bank in India represents a cooperative model specifically designed for women in the informal sector. Its savings-first approach contrasts with the credit-led Grameen model and offers lessons for resilience-building through asset accumulation rather than debt reliance. Kashf Foundation in Pakistan complements its lending with financial literacy training, addressing the psychological and knowledge-based barriers to effective microfinance utilisation that Gonzalez-Torres and Samuel-Adeyemi (2023) identify.</w:t>
      </w:r>
    </w:p>
    <w:p>
      <w:pPr>
        <w:pStyle w:val="BodyText"/>
      </w:pPr>
      <w:r>
        <w:t xml:space="preserve">The diversity of these institutional models underscores a central finding of this thesis: microfinance is not a monolithic intervention. Each institutional design creates different incentive structures, repayment expectations, and social dynamics that shape resilience outcomes for rural households.</w:t>
      </w:r>
    </w:p>
    <w:bookmarkEnd w:id="56"/>
    <w:bookmarkStart w:id="57" w:name="appendix-c-glossary-of-key-terms"/>
    <w:p>
      <w:pPr>
        <w:pStyle w:val="Heading2"/>
      </w:pPr>
      <w:r>
        <w:t xml:space="preserve">Appendix C: Glossary of Key Terms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335"/>
        <w:gridCol w:w="4405"/>
        <w:gridCol w:w="2620"/>
      </w:tblGrid>
      <w:tr>
        <w:trPr>
          <w:tblHeader w:val="on"/>
        </w:trPr>
        <w:tc>
          <w:tcPr>
            <w:tcW w:w="233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Term</w:t>
            </w:r>
          </w:p>
        </w:tc>
        <w:tc>
          <w:tcPr>
            <w:tcW w:w="440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Definition</w:t>
            </w:r>
          </w:p>
        </w:tc>
        <w:tc>
          <w:tcPr>
            <w:tcW w:w="262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Usage Context</w:t>
            </w:r>
          </w:p>
        </w:tc>
      </w:tr>
      <w:tr>
        <w:tc>
          <w:tcPr>
            <w:tcW w:w="2335" w:type="dxa"/>
          </w:tcPr>
          <w:p>
            <w:pPr>
              <w:pStyle w:val="Compact"/>
              <w:keepLines/>
              <w:spacing w:line="240" w:lineRule="auto" w:before="0" w:after="60"/>
              <w:ind w:firstLine="0" w:left="0" w:right="0"/>
              <w:jc w:val="left"/>
            </w:pPr>
            <w:r>
              <w:rPr>
                <w:rFonts w:ascii="Times New Roman" w:hAnsi="Times New Roman"/>
                <w:sz w:val="21"/>
              </w:rPr>
              <w:t xml:space="preserve">Consumption Smoothing</w:t>
            </w:r>
          </w:p>
        </w:tc>
        <w:tc>
          <w:tcPr>
            <w:tcW w:w="4405" w:type="dxa"/>
          </w:tcPr>
          <w:p>
            <w:pPr>
              <w:pStyle w:val="Compact"/>
              <w:keepLines/>
              <w:spacing w:line="240" w:lineRule="auto" w:before="0" w:after="60"/>
              <w:ind w:firstLine="0" w:left="0" w:right="0"/>
              <w:jc w:val="left"/>
            </w:pPr>
            <w:r>
              <w:rPr>
                <w:rFonts w:ascii="Times New Roman" w:hAnsi="Times New Roman"/>
                <w:sz w:val="21"/>
              </w:rPr>
              <w:t xml:space="preserve">Maintaining stable consumption levels despite income fluctuations</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Microfinance income pathway</w:t>
            </w:r>
          </w:p>
        </w:tc>
      </w:tr>
      <w:tr>
        <w:tc>
          <w:tcPr>
            <w:tcW w:w="2335" w:type="dxa"/>
          </w:tcPr>
          <w:p>
            <w:pPr>
              <w:pStyle w:val="Compact"/>
              <w:keepLines/>
              <w:spacing w:line="240" w:lineRule="auto" w:before="0" w:after="60"/>
              <w:ind w:firstLine="0" w:left="0" w:right="0"/>
              <w:jc w:val="left"/>
            </w:pPr>
            <w:r>
              <w:rPr>
                <w:rFonts w:ascii="Times New Roman" w:hAnsi="Times New Roman"/>
                <w:sz w:val="21"/>
              </w:rPr>
              <w:t xml:space="preserve">Distress Sale</w:t>
            </w:r>
          </w:p>
        </w:tc>
        <w:tc>
          <w:tcPr>
            <w:tcW w:w="4405" w:type="dxa"/>
          </w:tcPr>
          <w:p>
            <w:pPr>
              <w:pStyle w:val="Compact"/>
              <w:keepLines/>
              <w:spacing w:line="240" w:lineRule="auto" w:before="0" w:after="60"/>
              <w:ind w:firstLine="0" w:left="0" w:right="0"/>
              <w:jc w:val="left"/>
            </w:pPr>
            <w:r>
              <w:rPr>
                <w:rFonts w:ascii="Times New Roman" w:hAnsi="Times New Roman"/>
                <w:sz w:val="21"/>
              </w:rPr>
              <w:t xml:space="preserve">Selling productive assets at below-market prices during emergencies</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Coping strategy indicator</w:t>
            </w:r>
          </w:p>
        </w:tc>
      </w:tr>
      <w:tr>
        <w:tc>
          <w:tcPr>
            <w:tcW w:w="2335" w:type="dxa"/>
          </w:tcPr>
          <w:p>
            <w:pPr>
              <w:pStyle w:val="Compact"/>
              <w:keepLines/>
              <w:spacing w:line="240" w:lineRule="auto" w:before="0" w:after="60"/>
              <w:ind w:firstLine="0" w:left="0" w:right="0"/>
              <w:jc w:val="left"/>
            </w:pPr>
            <w:r>
              <w:rPr>
                <w:rFonts w:ascii="Times New Roman" w:hAnsi="Times New Roman"/>
                <w:sz w:val="21"/>
              </w:rPr>
              <w:t xml:space="preserve">Epistemic Humility</w:t>
            </w:r>
          </w:p>
        </w:tc>
        <w:tc>
          <w:tcPr>
            <w:tcW w:w="4405" w:type="dxa"/>
          </w:tcPr>
          <w:p>
            <w:pPr>
              <w:pStyle w:val="Compact"/>
              <w:keepLines/>
              <w:spacing w:line="240" w:lineRule="auto" w:before="0" w:after="60"/>
              <w:ind w:firstLine="0" w:left="0" w:right="0"/>
              <w:jc w:val="left"/>
            </w:pPr>
            <w:r>
              <w:rPr>
                <w:rFonts w:ascii="Times New Roman" w:hAnsi="Times New Roman"/>
                <w:sz w:val="21"/>
              </w:rPr>
              <w:t xml:space="preserve">Acknowledging limits of knowledge claims in research</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Methodological stance</w:t>
            </w:r>
          </w:p>
        </w:tc>
      </w:tr>
      <w:tr>
        <w:tc>
          <w:tcPr>
            <w:tcW w:w="2335" w:type="dxa"/>
          </w:tcPr>
          <w:p>
            <w:pPr>
              <w:pStyle w:val="Compact"/>
              <w:keepLines/>
              <w:spacing w:line="240" w:lineRule="auto" w:before="0" w:after="60"/>
              <w:ind w:firstLine="0" w:left="0" w:right="0"/>
              <w:jc w:val="left"/>
            </w:pPr>
            <w:r>
              <w:rPr>
                <w:rFonts w:ascii="Times New Roman" w:hAnsi="Times New Roman"/>
                <w:sz w:val="21"/>
              </w:rPr>
              <w:t xml:space="preserve">Group Lending</w:t>
            </w:r>
          </w:p>
        </w:tc>
        <w:tc>
          <w:tcPr>
            <w:tcW w:w="4405" w:type="dxa"/>
          </w:tcPr>
          <w:p>
            <w:pPr>
              <w:pStyle w:val="Compact"/>
              <w:keepLines/>
              <w:spacing w:line="240" w:lineRule="auto" w:before="0" w:after="60"/>
              <w:ind w:firstLine="0" w:left="0" w:right="0"/>
              <w:jc w:val="left"/>
            </w:pPr>
            <w:r>
              <w:rPr>
                <w:rFonts w:ascii="Times New Roman" w:hAnsi="Times New Roman"/>
                <w:sz w:val="21"/>
              </w:rPr>
              <w:t xml:space="preserve">Joint liability borrowing model common in microfinance</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Institutional design</w:t>
            </w:r>
          </w:p>
        </w:tc>
      </w:tr>
      <w:tr>
        <w:tc>
          <w:tcPr>
            <w:tcW w:w="2335" w:type="dxa"/>
          </w:tcPr>
          <w:p>
            <w:pPr>
              <w:pStyle w:val="Compact"/>
              <w:keepLines/>
              <w:spacing w:line="240" w:lineRule="auto" w:before="0" w:after="60"/>
              <w:ind w:firstLine="0" w:left="0" w:right="0"/>
              <w:jc w:val="left"/>
            </w:pPr>
            <w:r>
              <w:rPr>
                <w:rFonts w:ascii="Times New Roman" w:hAnsi="Times New Roman"/>
                <w:sz w:val="21"/>
              </w:rPr>
              <w:t xml:space="preserve">Household Resilience</w:t>
            </w:r>
          </w:p>
        </w:tc>
        <w:tc>
          <w:tcPr>
            <w:tcW w:w="4405" w:type="dxa"/>
          </w:tcPr>
          <w:p>
            <w:pPr>
              <w:pStyle w:val="Compact"/>
              <w:keepLines/>
              <w:spacing w:line="240" w:lineRule="auto" w:before="0" w:after="60"/>
              <w:ind w:firstLine="0" w:left="0" w:right="0"/>
              <w:jc w:val="left"/>
            </w:pPr>
            <w:r>
              <w:rPr>
                <w:rFonts w:ascii="Times New Roman" w:hAnsi="Times New Roman"/>
                <w:sz w:val="21"/>
              </w:rPr>
              <w:t xml:space="preserve">Capacity to absorb shocks without falling into poverty</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Outcome variable</w:t>
            </w:r>
          </w:p>
        </w:tc>
      </w:tr>
      <w:tr>
        <w:tc>
          <w:tcPr>
            <w:tcW w:w="2335" w:type="dxa"/>
          </w:tcPr>
          <w:p>
            <w:pPr>
              <w:pStyle w:val="Compact"/>
              <w:keepLines/>
              <w:spacing w:line="240" w:lineRule="auto" w:before="0" w:after="60"/>
              <w:ind w:firstLine="0" w:left="0" w:right="0"/>
              <w:jc w:val="left"/>
            </w:pPr>
            <w:r>
              <w:rPr>
                <w:rFonts w:ascii="Times New Roman" w:hAnsi="Times New Roman"/>
                <w:sz w:val="21"/>
              </w:rPr>
              <w:t xml:space="preserve">Intra-Household Bargaining</w:t>
            </w:r>
          </w:p>
        </w:tc>
        <w:tc>
          <w:tcPr>
            <w:tcW w:w="4405" w:type="dxa"/>
          </w:tcPr>
          <w:p>
            <w:pPr>
              <w:pStyle w:val="Compact"/>
              <w:keepLines/>
              <w:spacing w:line="240" w:lineRule="auto" w:before="0" w:after="60"/>
              <w:ind w:firstLine="0" w:left="0" w:right="0"/>
              <w:jc w:val="left"/>
            </w:pPr>
            <w:r>
              <w:rPr>
                <w:rFonts w:ascii="Times New Roman" w:hAnsi="Times New Roman"/>
                <w:sz w:val="21"/>
              </w:rPr>
              <w:t xml:space="preserve">Negotiation dynamics within families over resource allocation</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Gender analysis</w:t>
            </w:r>
          </w:p>
        </w:tc>
      </w:tr>
      <w:tr>
        <w:tc>
          <w:tcPr>
            <w:tcW w:w="2335" w:type="dxa"/>
          </w:tcPr>
          <w:p>
            <w:pPr>
              <w:pStyle w:val="Compact"/>
              <w:keepLines/>
              <w:spacing w:line="240" w:lineRule="auto" w:before="0" w:after="60"/>
              <w:ind w:firstLine="0" w:left="0" w:right="0"/>
              <w:jc w:val="left"/>
            </w:pPr>
            <w:r>
              <w:rPr>
                <w:rFonts w:ascii="Times New Roman" w:hAnsi="Times New Roman"/>
                <w:sz w:val="21"/>
              </w:rPr>
              <w:t xml:space="preserve">Joint Liability</w:t>
            </w:r>
          </w:p>
        </w:tc>
        <w:tc>
          <w:tcPr>
            <w:tcW w:w="4405" w:type="dxa"/>
          </w:tcPr>
          <w:p>
            <w:pPr>
              <w:pStyle w:val="Compact"/>
              <w:keepLines/>
              <w:spacing w:line="240" w:lineRule="auto" w:before="0" w:after="60"/>
              <w:ind w:firstLine="0" w:left="0" w:right="0"/>
              <w:jc w:val="left"/>
            </w:pPr>
            <w:r>
              <w:rPr>
                <w:rFonts w:ascii="Times New Roman" w:hAnsi="Times New Roman"/>
                <w:sz w:val="21"/>
              </w:rPr>
              <w:t xml:space="preserve">Collective repayment responsibility among borrowing group members</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Lending pathway</w:t>
            </w:r>
          </w:p>
        </w:tc>
      </w:tr>
      <w:tr>
        <w:tc>
          <w:tcPr>
            <w:tcW w:w="2335" w:type="dxa"/>
          </w:tcPr>
          <w:p>
            <w:pPr>
              <w:pStyle w:val="Compact"/>
              <w:keepLines/>
              <w:spacing w:line="240" w:lineRule="auto" w:before="0" w:after="60"/>
              <w:ind w:firstLine="0" w:left="0" w:right="0"/>
              <w:jc w:val="left"/>
            </w:pPr>
            <w:r>
              <w:rPr>
                <w:rFonts w:ascii="Times New Roman" w:hAnsi="Times New Roman"/>
                <w:sz w:val="21"/>
              </w:rPr>
              <w:t xml:space="preserve">Microfinance Institution (MFI)</w:t>
            </w:r>
          </w:p>
        </w:tc>
        <w:tc>
          <w:tcPr>
            <w:tcW w:w="4405" w:type="dxa"/>
          </w:tcPr>
          <w:p>
            <w:pPr>
              <w:pStyle w:val="Compact"/>
              <w:keepLines/>
              <w:spacing w:line="240" w:lineRule="auto" w:before="0" w:after="60"/>
              <w:ind w:firstLine="0" w:left="0" w:right="0"/>
              <w:jc w:val="left"/>
            </w:pPr>
            <w:r>
              <w:rPr>
                <w:rFonts w:ascii="Times New Roman" w:hAnsi="Times New Roman"/>
                <w:sz w:val="21"/>
              </w:rPr>
              <w:t xml:space="preserve">Organisation providing financial services to low-income clients</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Institutional context</w:t>
            </w:r>
          </w:p>
        </w:tc>
      </w:tr>
      <w:tr>
        <w:tc>
          <w:tcPr>
            <w:tcW w:w="2335" w:type="dxa"/>
          </w:tcPr>
          <w:p>
            <w:pPr>
              <w:pStyle w:val="Compact"/>
              <w:keepLines/>
              <w:spacing w:line="240" w:lineRule="auto" w:before="0" w:after="60"/>
              <w:ind w:firstLine="0" w:left="0" w:right="0"/>
              <w:jc w:val="left"/>
            </w:pPr>
            <w:r>
              <w:rPr>
                <w:rFonts w:ascii="Times New Roman" w:hAnsi="Times New Roman"/>
                <w:sz w:val="21"/>
              </w:rPr>
              <w:t xml:space="preserve">Microinsurance</w:t>
            </w:r>
          </w:p>
        </w:tc>
        <w:tc>
          <w:tcPr>
            <w:tcW w:w="4405" w:type="dxa"/>
          </w:tcPr>
          <w:p>
            <w:pPr>
              <w:pStyle w:val="Compact"/>
              <w:keepLines/>
              <w:spacing w:line="240" w:lineRule="auto" w:before="0" w:after="60"/>
              <w:ind w:firstLine="0" w:left="0" w:right="0"/>
              <w:jc w:val="left"/>
            </w:pPr>
            <w:r>
              <w:rPr>
                <w:rFonts w:ascii="Times New Roman" w:hAnsi="Times New Roman"/>
                <w:sz w:val="21"/>
              </w:rPr>
              <w:t xml:space="preserve">Low-premium insurance products for low-income households</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Risk management tool</w:t>
            </w:r>
          </w:p>
        </w:tc>
      </w:tr>
      <w:tr>
        <w:tc>
          <w:tcPr>
            <w:tcW w:w="2335" w:type="dxa"/>
          </w:tcPr>
          <w:p>
            <w:pPr>
              <w:pStyle w:val="Compact"/>
              <w:keepLines/>
              <w:spacing w:line="240" w:lineRule="auto" w:before="0" w:after="60"/>
              <w:ind w:firstLine="0" w:left="0" w:right="0"/>
              <w:jc w:val="left"/>
            </w:pPr>
            <w:r>
              <w:rPr>
                <w:rFonts w:ascii="Times New Roman" w:hAnsi="Times New Roman"/>
                <w:sz w:val="21"/>
              </w:rPr>
              <w:t xml:space="preserve">Moral Hazard</w:t>
            </w:r>
          </w:p>
        </w:tc>
        <w:tc>
          <w:tcPr>
            <w:tcW w:w="4405" w:type="dxa"/>
          </w:tcPr>
          <w:p>
            <w:pPr>
              <w:pStyle w:val="Compact"/>
              <w:keepLines/>
              <w:spacing w:line="240" w:lineRule="auto" w:before="0" w:after="60"/>
              <w:ind w:firstLine="0" w:left="0" w:right="0"/>
              <w:jc w:val="left"/>
            </w:pPr>
            <w:r>
              <w:rPr>
                <w:rFonts w:ascii="Times New Roman" w:hAnsi="Times New Roman"/>
                <w:sz w:val="21"/>
              </w:rPr>
              <w:t xml:space="preserve">Risk that insured parties behave more recklessly</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Institutional economics</w:t>
            </w:r>
          </w:p>
        </w:tc>
      </w:tr>
      <w:tr>
        <w:tc>
          <w:tcPr>
            <w:tcW w:w="2335" w:type="dxa"/>
          </w:tcPr>
          <w:p>
            <w:pPr>
              <w:pStyle w:val="Compact"/>
              <w:keepLines/>
              <w:spacing w:line="240" w:lineRule="auto" w:before="0" w:after="60"/>
              <w:ind w:firstLine="0" w:left="0" w:right="0"/>
              <w:jc w:val="left"/>
            </w:pPr>
            <w:r>
              <w:rPr>
                <w:rFonts w:ascii="Times New Roman" w:hAnsi="Times New Roman"/>
                <w:sz w:val="21"/>
              </w:rPr>
              <w:t xml:space="preserve">Propensity Score Matching</w:t>
            </w:r>
          </w:p>
        </w:tc>
        <w:tc>
          <w:tcPr>
            <w:tcW w:w="4405" w:type="dxa"/>
          </w:tcPr>
          <w:p>
            <w:pPr>
              <w:pStyle w:val="Compact"/>
              <w:keepLines/>
              <w:spacing w:line="240" w:lineRule="auto" w:before="0" w:after="60"/>
              <w:ind w:firstLine="0" w:left="0" w:right="0"/>
              <w:jc w:val="left"/>
            </w:pPr>
            <w:r>
              <w:rPr>
                <w:rFonts w:ascii="Times New Roman" w:hAnsi="Times New Roman"/>
                <w:sz w:val="21"/>
              </w:rPr>
              <w:t xml:space="preserve">Statistical technique for causal inference in observational studies</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Evaluation methodology</w:t>
            </w:r>
          </w:p>
        </w:tc>
      </w:tr>
      <w:tr>
        <w:tc>
          <w:tcPr>
            <w:tcW w:w="2335" w:type="dxa"/>
          </w:tcPr>
          <w:p>
            <w:pPr>
              <w:pStyle w:val="Compact"/>
              <w:keepLines/>
              <w:spacing w:line="240" w:lineRule="auto" w:before="0" w:after="60"/>
              <w:ind w:firstLine="0" w:left="0" w:right="0"/>
              <w:jc w:val="left"/>
            </w:pPr>
            <w:r>
              <w:rPr>
                <w:rFonts w:ascii="Times New Roman" w:hAnsi="Times New Roman"/>
                <w:sz w:val="21"/>
              </w:rPr>
              <w:t xml:space="preserve">Repayment Pressure</w:t>
            </w:r>
          </w:p>
        </w:tc>
        <w:tc>
          <w:tcPr>
            <w:tcW w:w="4405" w:type="dxa"/>
          </w:tcPr>
          <w:p>
            <w:pPr>
              <w:pStyle w:val="Compact"/>
              <w:keepLines/>
              <w:spacing w:line="240" w:lineRule="auto" w:before="0" w:after="60"/>
              <w:ind w:firstLine="0" w:left="0" w:right="0"/>
              <w:jc w:val="left"/>
            </w:pPr>
            <w:r>
              <w:rPr>
                <w:rFonts w:ascii="Times New Roman" w:hAnsi="Times New Roman"/>
                <w:sz w:val="21"/>
              </w:rPr>
              <w:t xml:space="preserve">Stress from rigid loan repayment schedules</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Mediating factor</w:t>
            </w:r>
          </w:p>
        </w:tc>
      </w:tr>
    </w:tbl>
    <w:p>
      <w:pPr>
        <w:pStyle w:val="BodyText"/>
      </w:pPr>
      <w:r>
        <w:rPr>
          <w:i/>
          <w:iCs/>
        </w:rPr>
        <w:t xml:space="preserve">Table C1: Glossary of Key Technical Terms.</w:t>
      </w:r>
    </w:p>
    <w:p>
      <w:pPr>
        <w:pStyle w:val="BodyText"/>
      </w:pPr>
      <w:r>
        <w:t xml:space="preserve">The concept of household resilience requires particular attention, as its operationalisation varies considerably across the reviewed studies. Some researchers define resilience as the maintenance of consumption levels during shocks, while others treat it as asset retention or recovery speed. This definitional plurality complicates cross-study comparisons, a point discussed extensively in Section 2.1.1 of this thesis.</w:t>
      </w:r>
    </w:p>
    <w:p>
      <w:pPr>
        <w:pStyle w:val="BodyText"/>
      </w:pPr>
      <w:r>
        <w:t xml:space="preserve">Consumption smoothing and distress sales represent opposite poles of household coping capacity. Households that can smooth consumption through credit, savings, or insurance avoid the welfare-reducing strategy of selling productive assets at distressed prices. The distinction between these two outcomes is central to evaluating whether microfinance builds genuine resilience or merely postpones risk factor.</w:t>
      </w:r>
    </w:p>
    <w:p>
      <w:pPr>
        <w:pStyle w:val="BodyText"/>
      </w:pPr>
      <w:r>
        <w:t xml:space="preserve">Group lending and joint liability are foundational design features of many South Asian microfinance programs. While these mechanisms reduce transaction costs for MFIs and enable lending without physical collateral, they also create repayment pressure that can undermine household resilience during crises. This tension is explored in detail in Section 2.3.4 of the thesis.</w:t>
      </w:r>
    </w:p>
    <w:bookmarkEnd w:id="57"/>
    <w:bookmarkStart w:id="58" w:name="Xdb6412ccaa06cfb745db57958386aebd51e8e83"/>
    <w:p>
      <w:pPr>
        <w:pStyle w:val="Heading2"/>
      </w:pPr>
      <w:r>
        <w:t xml:space="preserve">Appendix D: Additional Resources for Further Research</w:t>
      </w:r>
    </w:p>
    <w:p>
      <w:pPr>
        <w:pStyle w:val="FirstParagraph"/>
      </w:pPr>
      <w:r>
        <w:t xml:space="preserve">The following table lists supplementary resources and tools relevant to researchers and practitioners seeking to deepen their understanding of microfinance and household resilience in South Asia.</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3260"/>
        <w:gridCol w:w="3025"/>
        <w:gridCol w:w="1765"/>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Resource Type</w:t>
            </w:r>
          </w:p>
        </w:tc>
        <w:tc>
          <w:tcPr>
            <w:tcW w:w="326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Name/Description</w:t>
            </w:r>
          </w:p>
        </w:tc>
        <w:tc>
          <w:tcPr>
            <w:tcW w:w="302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Relevance</w:t>
            </w:r>
          </w:p>
        </w:tc>
        <w:tc>
          <w:tcPr>
            <w:tcW w:w="176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Access Notes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Dataset</w:t>
            </w:r>
          </w:p>
        </w:tc>
        <w:tc>
          <w:tcPr>
            <w:tcW w:w="3260" w:type="dxa"/>
          </w:tcPr>
          <w:p>
            <w:pPr>
              <w:pStyle w:val="Compact"/>
              <w:keepLines/>
              <w:spacing w:line="240" w:lineRule="auto" w:before="0" w:after="60"/>
              <w:ind w:firstLine="0" w:left="0" w:right="0"/>
              <w:jc w:val="left"/>
            </w:pPr>
            <w:r>
              <w:rPr>
                <w:rFonts w:ascii="Times New Roman" w:hAnsi="Times New Roman"/>
                <w:sz w:val="19"/>
              </w:rPr>
              <w:t xml:space="preserve">Bangladesh Integrated Household Survey (BIHS)</w:t>
            </w:r>
          </w:p>
        </w:tc>
        <w:tc>
          <w:tcPr>
            <w:tcW w:w="3025" w:type="dxa"/>
          </w:tcPr>
          <w:p>
            <w:pPr>
              <w:pStyle w:val="Compact"/>
              <w:keepLines/>
              <w:spacing w:line="240" w:lineRule="auto" w:before="0" w:after="60"/>
              <w:ind w:firstLine="0" w:left="0" w:right="0"/>
              <w:jc w:val="left"/>
            </w:pPr>
            <w:r>
              <w:rPr>
                <w:rFonts w:ascii="Times New Roman" w:hAnsi="Times New Roman"/>
                <w:sz w:val="19"/>
              </w:rPr>
              <w:t xml:space="preserve">Household-level panel data on consumption, assets</w:t>
            </w:r>
          </w:p>
        </w:tc>
        <w:tc>
          <w:tcPr>
            <w:tcW w:w="1765" w:type="dxa"/>
          </w:tcPr>
          <w:p>
            <w:pPr>
              <w:pStyle w:val="Compact"/>
              <w:keepLines/>
              <w:spacing w:line="240" w:lineRule="auto" w:before="0" w:after="60"/>
              <w:ind w:firstLine="0" w:left="0" w:right="0"/>
              <w:jc w:val="left"/>
            </w:pPr>
            <w:r>
              <w:rPr>
                <w:rFonts w:ascii="Times New Roman" w:hAnsi="Times New Roman"/>
                <w:sz w:val="19"/>
              </w:rPr>
              <w:t xml:space="preserve">Publicly available via IFPRI</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Dataset</w:t>
            </w:r>
          </w:p>
        </w:tc>
        <w:tc>
          <w:tcPr>
            <w:tcW w:w="3260" w:type="dxa"/>
          </w:tcPr>
          <w:p>
            <w:pPr>
              <w:pStyle w:val="Compact"/>
              <w:keepLines/>
              <w:spacing w:line="240" w:lineRule="auto" w:before="0" w:after="60"/>
              <w:ind w:firstLine="0" w:left="0" w:right="0"/>
              <w:jc w:val="left"/>
            </w:pPr>
            <w:r>
              <w:rPr>
                <w:rFonts w:ascii="Times New Roman" w:hAnsi="Times New Roman"/>
                <w:sz w:val="19"/>
              </w:rPr>
              <w:t xml:space="preserve">India Human Development Survey (IHDS)</w:t>
            </w:r>
          </w:p>
        </w:tc>
        <w:tc>
          <w:tcPr>
            <w:tcW w:w="3025" w:type="dxa"/>
          </w:tcPr>
          <w:p>
            <w:pPr>
              <w:pStyle w:val="Compact"/>
              <w:keepLines/>
              <w:spacing w:line="240" w:lineRule="auto" w:before="0" w:after="60"/>
              <w:ind w:firstLine="0" w:left="0" w:right="0"/>
              <w:jc w:val="left"/>
            </w:pPr>
            <w:r>
              <w:rPr>
                <w:rFonts w:ascii="Times New Roman" w:hAnsi="Times New Roman"/>
                <w:sz w:val="19"/>
              </w:rPr>
              <w:t xml:space="preserve">Nationally representative household panel</w:t>
            </w:r>
          </w:p>
        </w:tc>
        <w:tc>
          <w:tcPr>
            <w:tcW w:w="1765" w:type="dxa"/>
          </w:tcPr>
          <w:p>
            <w:pPr>
              <w:pStyle w:val="Compact"/>
              <w:keepLines/>
              <w:spacing w:line="240" w:lineRule="auto" w:before="0" w:after="60"/>
              <w:ind w:firstLine="0" w:left="0" w:right="0"/>
              <w:jc w:val="left"/>
            </w:pPr>
            <w:r>
              <w:rPr>
                <w:rFonts w:ascii="Times New Roman" w:hAnsi="Times New Roman"/>
                <w:sz w:val="19"/>
              </w:rPr>
              <w:t xml:space="preserve">Available via ICPSR</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Evaluation Tool</w:t>
            </w:r>
          </w:p>
        </w:tc>
        <w:tc>
          <w:tcPr>
            <w:tcW w:w="3260" w:type="dxa"/>
          </w:tcPr>
          <w:p>
            <w:pPr>
              <w:pStyle w:val="Compact"/>
              <w:keepLines/>
              <w:spacing w:line="240" w:lineRule="auto" w:before="0" w:after="60"/>
              <w:ind w:firstLine="0" w:left="0" w:right="0"/>
              <w:jc w:val="left"/>
            </w:pPr>
            <w:r>
              <w:rPr>
                <w:rFonts w:ascii="Times New Roman" w:hAnsi="Times New Roman"/>
                <w:sz w:val="19"/>
              </w:rPr>
              <w:t xml:space="preserve">Randomized Controlled Trial (RCT) designs for microfinance impact</w:t>
            </w:r>
          </w:p>
        </w:tc>
        <w:tc>
          <w:tcPr>
            <w:tcW w:w="3025" w:type="dxa"/>
          </w:tcPr>
          <w:p>
            <w:pPr>
              <w:pStyle w:val="Compact"/>
              <w:keepLines/>
              <w:spacing w:line="240" w:lineRule="auto" w:before="0" w:after="60"/>
              <w:ind w:firstLine="0" w:left="0" w:right="0"/>
              <w:jc w:val="left"/>
            </w:pPr>
            <w:r>
              <w:rPr>
                <w:rFonts w:ascii="Times New Roman" w:hAnsi="Times New Roman"/>
                <w:sz w:val="19"/>
              </w:rPr>
              <w:t xml:space="preserve">Causal inference methodology</w:t>
            </w:r>
          </w:p>
        </w:tc>
        <w:tc>
          <w:tcPr>
            <w:tcW w:w="1765" w:type="dxa"/>
          </w:tcPr>
          <w:p>
            <w:pPr>
              <w:pStyle w:val="Compact"/>
              <w:keepLines/>
              <w:spacing w:line="240" w:lineRule="auto" w:before="0" w:after="60"/>
              <w:ind w:firstLine="0" w:left="0" w:right="0"/>
              <w:jc w:val="left"/>
            </w:pPr>
            <w:r>
              <w:rPr>
                <w:rFonts w:ascii="Times New Roman" w:hAnsi="Times New Roman"/>
                <w:sz w:val="19"/>
              </w:rPr>
              <w:t xml:space="preserve">Ethical considerations apply</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Policy Framework</w:t>
            </w:r>
          </w:p>
        </w:tc>
        <w:tc>
          <w:tcPr>
            <w:tcW w:w="3260" w:type="dxa"/>
          </w:tcPr>
          <w:p>
            <w:pPr>
              <w:pStyle w:val="Compact"/>
              <w:keepLines/>
              <w:spacing w:line="240" w:lineRule="auto" w:before="0" w:after="60"/>
              <w:ind w:firstLine="0" w:left="0" w:right="0"/>
              <w:jc w:val="left"/>
            </w:pPr>
            <w:r>
              <w:rPr>
                <w:rFonts w:ascii="Times New Roman" w:hAnsi="Times New Roman"/>
                <w:sz w:val="19"/>
              </w:rPr>
              <w:t xml:space="preserve">Reserve Bank of India priority sector lending guidelines</w:t>
            </w:r>
          </w:p>
        </w:tc>
        <w:tc>
          <w:tcPr>
            <w:tcW w:w="3025" w:type="dxa"/>
          </w:tcPr>
          <w:p>
            <w:pPr>
              <w:pStyle w:val="Compact"/>
              <w:keepLines/>
              <w:spacing w:line="240" w:lineRule="auto" w:before="0" w:after="60"/>
              <w:ind w:firstLine="0" w:left="0" w:right="0"/>
              <w:jc w:val="left"/>
            </w:pPr>
            <w:r>
              <w:rPr>
                <w:rFonts w:ascii="Times New Roman" w:hAnsi="Times New Roman"/>
                <w:sz w:val="19"/>
              </w:rPr>
              <w:t xml:space="preserve">Regulatory context for Indian MFIs</w:t>
            </w:r>
          </w:p>
        </w:tc>
        <w:tc>
          <w:tcPr>
            <w:tcW w:w="1765" w:type="dxa"/>
          </w:tcPr>
          <w:p>
            <w:pPr>
              <w:pStyle w:val="Compact"/>
              <w:keepLines/>
              <w:spacing w:line="240" w:lineRule="auto" w:before="0" w:after="60"/>
              <w:ind w:firstLine="0" w:left="0" w:right="0"/>
              <w:jc w:val="left"/>
            </w:pPr>
            <w:r>
              <w:rPr>
                <w:rFonts w:ascii="Times New Roman" w:hAnsi="Times New Roman"/>
                <w:sz w:val="19"/>
              </w:rPr>
              <w:t xml:space="preserve">Publicly available</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Institutional Data</w:t>
            </w:r>
          </w:p>
        </w:tc>
        <w:tc>
          <w:tcPr>
            <w:tcW w:w="3260" w:type="dxa"/>
          </w:tcPr>
          <w:p>
            <w:pPr>
              <w:pStyle w:val="Compact"/>
              <w:keepLines/>
              <w:spacing w:line="240" w:lineRule="auto" w:before="0" w:after="60"/>
              <w:ind w:firstLine="0" w:left="0" w:right="0"/>
              <w:jc w:val="left"/>
            </w:pPr>
            <w:r>
              <w:rPr>
                <w:rFonts w:ascii="Times New Roman" w:hAnsi="Times New Roman"/>
                <w:sz w:val="19"/>
              </w:rPr>
              <w:t xml:space="preserve">MIX Market / World Bank microfinance database</w:t>
            </w:r>
          </w:p>
        </w:tc>
        <w:tc>
          <w:tcPr>
            <w:tcW w:w="3025" w:type="dxa"/>
          </w:tcPr>
          <w:p>
            <w:pPr>
              <w:pStyle w:val="Compact"/>
              <w:keepLines/>
              <w:spacing w:line="240" w:lineRule="auto" w:before="0" w:after="60"/>
              <w:ind w:firstLine="0" w:left="0" w:right="0"/>
              <w:jc w:val="left"/>
            </w:pPr>
            <w:r>
              <w:rPr>
                <w:rFonts w:ascii="Times New Roman" w:hAnsi="Times New Roman"/>
                <w:sz w:val="19"/>
              </w:rPr>
              <w:t xml:space="preserve">MFI-level financial and outreach data</w:t>
            </w:r>
          </w:p>
        </w:tc>
        <w:tc>
          <w:tcPr>
            <w:tcW w:w="1765" w:type="dxa"/>
          </w:tcPr>
          <w:p>
            <w:pPr>
              <w:pStyle w:val="Compact"/>
              <w:keepLines/>
              <w:spacing w:line="240" w:lineRule="auto" w:before="0" w:after="60"/>
              <w:ind w:firstLine="0" w:left="0" w:right="0"/>
              <w:jc w:val="left"/>
            </w:pPr>
            <w:r>
              <w:rPr>
                <w:rFonts w:ascii="Times New Roman" w:hAnsi="Times New Roman"/>
                <w:sz w:val="19"/>
              </w:rPr>
              <w:t xml:space="preserve">Subscription access</w:t>
            </w:r>
          </w:p>
        </w:tc>
      </w:tr>
    </w:tbl>
    <w:p>
      <w:pPr>
        <w:pStyle w:val="BodyText"/>
      </w:pPr>
      <w:r>
        <w:rPr>
          <w:i/>
          <w:iCs/>
        </w:rPr>
        <w:t xml:space="preserve">Table D1: Supplementary Resources for Researchers and Practitioners.</w:t>
      </w:r>
    </w:p>
    <w:p>
      <w:pPr>
        <w:pStyle w:val="BodyText"/>
      </w:pPr>
      <w:r>
        <w:t xml:space="preserve">The datasets listed in Table D1 represent important resources for future empirical work on microfinance and resilience. The Bangladesh Integrated Household Survey provides detailed consumption and asset data that can support longitudinal analyses of household welfare trajectories. The India Human Development Survey offers comparable data for Indian households, enabling cross-country comparisons within South Asia.</w:t>
      </w:r>
    </w:p>
    <w:p>
      <w:pPr>
        <w:pStyle w:val="BodyText"/>
      </w:pPr>
      <w:r>
        <w:t xml:space="preserve">For researchers interested in causal identification, randomised controlled trial designs have been deployed in several influential microfinance studies. However, as the discussion in Section 2.4.3 of this thesis notes, RCTs face practical and ethical limitations in South Asian contexts, particularly where control groups may be difficult to maintain over extended periods.</w:t>
      </w:r>
    </w:p>
    <w:p>
      <w:pPr>
        <w:pStyle w:val="BodyText"/>
      </w:pPr>
      <w:r>
        <w:t xml:space="preserve">Policy frameworks, such as India's priority sector lending guidelines, shape the institutional environment within which MFIs operate. Understanding these regulatory contexts is essential for interpreting cross-country variation in microfinance outcomes. The MIX Market database, maintained by the World Bank, offers standardised financial and outreach data for MFIs globally, enabling comparative analyses of institutional performance across the South Asian region (Tang et al., 2026).</w:t>
      </w:r>
    </w:p>
    <w:p>
      <w:pPr>
        <w:pStyle w:val="BodyText"/>
      </w:pPr>
      <w:r>
        <w:t xml:space="preserve">Researchers are encouraged to consult the primary sources cited throughout this thesis for detailed methodological descriptions and empirical findings. The glossary provided in Appendix C and the conceptual framework outlined in Appendix A may serve as useful reference points for designing future studies.</w:t>
      </w:r>
    </w:p>
    <w:bookmarkEnd w:id="58"/>
    <w:bookmarkStart w:id="59" w:name="references"/>
    <w:p>
      <w:pPr>
        <w:pStyle w:val="Heading2"/>
      </w:pPr>
      <w:r>
        <w:t xml:space="preserve">References</w:t>
      </w:r>
    </w:p>
    <w:p>
      <w:pPr>
        <w:pStyle w:val="FirstParagraph"/>
      </w:pPr>
      <w:r>
        <w:t xml:space="preserve">ADHIKARI, ADHIKARI, &amp; DHUNGANA. (2026). Microinsurance Adoption and Financial Resilience: A Study of Household Response to Income Shocks in Developing Countries.</w:t>
      </w:r>
      <w:r>
        <w:t xml:space="preserve"> </w:t>
      </w:r>
      <w:r>
        <w:rPr>
          <w:i/>
          <w:iCs/>
        </w:rPr>
        <w:t xml:space="preserve">Financial Markets, Institutions and Risks</w:t>
      </w:r>
      <w:r>
        <w:t xml:space="preserve">,</w:t>
      </w:r>
      <w:r>
        <w:t xml:space="preserve"> </w:t>
      </w:r>
      <w:r>
        <w:rPr>
          <w:i/>
          <w:iCs/>
        </w:rPr>
        <w:t xml:space="preserve">10</w:t>
      </w:r>
      <w:r>
        <w:t xml:space="preserve">(1), 127-141. https://doi.org/10.61093/fmir.10(1).127-141.2026.</w:t>
      </w:r>
    </w:p>
    <w:p>
      <w:pPr>
        <w:pStyle w:val="BodyText"/>
      </w:pPr>
      <w:r>
        <w:t xml:space="preserve">Aktaruzzaman, &amp; Guha-Khasnobis. (2012). Microfinance and Domestic Violence: A Regression Discontinuity Approach. https://doi.org/10.2139/ssrn.2156086</w:t>
      </w:r>
    </w:p>
    <w:p>
      <w:pPr>
        <w:pStyle w:val="BodyText"/>
      </w:pPr>
      <w:r>
        <w:t xml:space="preserve">Ansar, Hess, &amp; Klapper. (2023).</w:t>
      </w:r>
      <w:r>
        <w:t xml:space="preserve"> </w:t>
      </w:r>
      <w:r>
        <w:rPr>
          <w:i/>
          <w:iCs/>
        </w:rPr>
        <w:t xml:space="preserve">Resilience in emergencies, savings, and credit</w:t>
      </w:r>
      <w:r>
        <w:t xml:space="preserve">. Edward Elgar Publishing. https://doi.org/10.4337/9781789903874.00012</w:t>
      </w:r>
    </w:p>
    <w:p>
      <w:pPr>
        <w:pStyle w:val="BodyText"/>
      </w:pPr>
      <w:r>
        <w:t xml:space="preserve">Cai, Park, &amp; Wang. (2025). Microfinance Can Raise Incomes: Evidence from a Randomized Controlled Trial in the People’s Republic of China. https://doi.org/10.2139/ssrn.5629151</w:t>
      </w:r>
    </w:p>
    <w:p>
      <w:pPr>
        <w:pStyle w:val="BodyText"/>
      </w:pPr>
      <w:r>
        <w:t xml:space="preserve">Cintina, &amp; Love. (2017).</w:t>
      </w:r>
      <w:r>
        <w:t xml:space="preserve"> </w:t>
      </w:r>
      <w:r>
        <w:rPr>
          <w:i/>
          <w:iCs/>
        </w:rPr>
        <w:t xml:space="preserve">Re-Evaluating Microfinance: Evidence from Propensity Score Matching</w:t>
      </w:r>
      <w:r>
        <w:t xml:space="preserve">. World Bank, Washington, DC. https://doi.org/10.1596/1813-9450-8028</w:t>
      </w:r>
    </w:p>
    <w:p>
      <w:pPr>
        <w:pStyle w:val="BodyText"/>
      </w:pPr>
      <w:r>
        <w:t xml:space="preserve">Collier, Tesfaye, Henderson, Abafita, Tarbi, Pietras, &amp; Chemali. (2012). Microfinance and women's health: an evaluation of women's health behaviors in Jimma, Ethiopia.</w:t>
      </w:r>
      <w:r>
        <w:t xml:space="preserve"> </w:t>
      </w:r>
      <w:r>
        <w:rPr>
          <w:i/>
          <w:iCs/>
        </w:rPr>
        <w:t xml:space="preserve">International Journal of Culture and Mental Health</w:t>
      </w:r>
      <w:r>
        <w:t xml:space="preserve">,</w:t>
      </w:r>
      <w:r>
        <w:t xml:space="preserve"> </w:t>
      </w:r>
      <w:r>
        <w:rPr>
          <w:i/>
          <w:iCs/>
        </w:rPr>
        <w:t xml:space="preserve">7</w:t>
      </w:r>
      <w:r>
        <w:t xml:space="preserve">(2), 152-161. https://doi.org/10.1080/17542863.2012.734839.</w:t>
      </w:r>
    </w:p>
    <w:p>
      <w:pPr>
        <w:pStyle w:val="BodyText"/>
      </w:pPr>
      <w:r>
        <w:t xml:space="preserve">Ghosh, &amp; Bhandari. (2013).</w:t>
      </w:r>
      <w:r>
        <w:t xml:space="preserve"> </w:t>
      </w:r>
      <w:r>
        <w:rPr>
          <w:i/>
          <w:iCs/>
        </w:rPr>
        <w:t xml:space="preserve">Microfinance and Rural Entrepreneurship: An Assessment</w:t>
      </w:r>
      <w:r>
        <w:t xml:space="preserve">. Springer India. https://doi.org/10.1007/978-81-322-1284-3_4</w:t>
      </w:r>
    </w:p>
    <w:p>
      <w:pPr>
        <w:pStyle w:val="BodyText"/>
      </w:pPr>
      <w:r>
        <w:t xml:space="preserve">Goodspeed. (2018).</w:t>
      </w:r>
      <w:r>
        <w:t xml:space="preserve"> </w:t>
      </w:r>
      <w:r>
        <w:rPr>
          <w:i/>
          <w:iCs/>
        </w:rPr>
        <w:t xml:space="preserve">Environmental Shocks and Sustainability in Microfinance: Evidence from the Great Famine of Ireland</w:t>
      </w:r>
      <w:r>
        <w:t xml:space="preserve">. Published by Oxford University Press on behalf of the World Bank. https://doi.org/10.1596/32785</w:t>
      </w:r>
    </w:p>
    <w:p>
      <w:pPr>
        <w:pStyle w:val="BodyText"/>
      </w:pPr>
      <w:r>
        <w:t xml:space="preserve">K.S. Ranjani, &amp; Poonam Singh. (2019). Reciprocity, performance, and training expenditure in microfinance institutions: evidence from South Asia.</w:t>
      </w:r>
      <w:r>
        <w:t xml:space="preserve"> </w:t>
      </w:r>
      <w:r>
        <w:rPr>
          <w:i/>
          <w:iCs/>
        </w:rPr>
        <w:t xml:space="preserve">Enterprise Development &amp; Microfinance</w:t>
      </w:r>
      <w:r>
        <w:t xml:space="preserve">,</w:t>
      </w:r>
      <w:r>
        <w:t xml:space="preserve"> </w:t>
      </w:r>
      <w:r>
        <w:rPr>
          <w:i/>
          <w:iCs/>
        </w:rPr>
        <w:t xml:space="preserve">30</w:t>
      </w:r>
      <w:r>
        <w:t xml:space="preserve">(2), 97-116. https://doi.org/10.3362/1755-1986.17-00026.</w:t>
      </w:r>
    </w:p>
    <w:p>
      <w:pPr>
        <w:pStyle w:val="BodyText"/>
      </w:pPr>
      <w:r>
        <w:t xml:space="preserve">Karim. (2011).</w:t>
      </w:r>
      <w:r>
        <w:t xml:space="preserve"> </w:t>
      </w:r>
      <w:r>
        <w:rPr>
          <w:i/>
          <w:iCs/>
        </w:rPr>
        <w:t xml:space="preserve">Power/Knowledge in Microfinance</w:t>
      </w:r>
      <w:r>
        <w:t xml:space="preserve">. University of Minnesota Press. https://doi.org/10.5749/minnesota/9780816670949.003.0006</w:t>
      </w:r>
    </w:p>
    <w:p>
      <w:pPr>
        <w:pStyle w:val="BodyText"/>
      </w:pPr>
      <w:r>
        <w:t xml:space="preserve">Mafukata. (2022).</w:t>
      </w:r>
      <w:r>
        <w:t xml:space="preserve"> </w:t>
      </w:r>
      <w:r>
        <w:rPr>
          <w:i/>
          <w:iCs/>
        </w:rPr>
        <w:t xml:space="preserve">Adoption of Microfinance in Entrepreneurship Development Amongst Rural Women in Vhembe District</w:t>
      </w:r>
      <w:r>
        <w:t xml:space="preserve">. IGI Global. https://doi.org/10.4018/978-1-6684-7552-2.ch008</w:t>
      </w:r>
    </w:p>
    <w:p>
      <w:pPr>
        <w:pStyle w:val="BodyText"/>
      </w:pPr>
      <w:r>
        <w:t xml:space="preserve">Moll. (2007).</w:t>
      </w:r>
      <w:r>
        <w:t xml:space="preserve"> </w:t>
      </w:r>
      <w:r>
        <w:rPr>
          <w:i/>
          <w:iCs/>
        </w:rPr>
        <w:t xml:space="preserve">Experience and challenges in rural microfinance</w:t>
      </w:r>
      <w:r>
        <w:t xml:space="preserve">. Brill | Wageningen Academic. https://doi.org/10.3920/9789086866182_021</w:t>
      </w:r>
    </w:p>
    <w:p>
      <w:pPr>
        <w:pStyle w:val="BodyText"/>
      </w:pPr>
      <w:r>
        <w:t xml:space="preserve">Mukherjee, &amp; Das. (2018).</w:t>
      </w:r>
      <w:r>
        <w:t xml:space="preserve"> </w:t>
      </w:r>
      <w:r>
        <w:rPr>
          <w:i/>
          <w:iCs/>
        </w:rPr>
        <w:t xml:space="preserve">Impact of Microfinance on Investment Decision and Consumption Smoothing</w:t>
      </w:r>
      <w:r>
        <w:t xml:space="preserve">. IGI Global. https://doi.org/10.4018/978-1-5225-5213-0.ch003</w:t>
      </w:r>
    </w:p>
    <w:p>
      <w:pPr>
        <w:pStyle w:val="BodyText"/>
      </w:pPr>
      <w:r>
        <w:t xml:space="preserve">Murshid. (2018). Microfinance Participation and Women's Decision-Making Power in the Household in Bangladesh.</w:t>
      </w:r>
      <w:r>
        <w:t xml:space="preserve"> </w:t>
      </w:r>
      <w:r>
        <w:rPr>
          <w:i/>
          <w:iCs/>
        </w:rPr>
        <w:t xml:space="preserve">Journal of Social Service Research</w:t>
      </w:r>
      <w:r>
        <w:t xml:space="preserve">,</w:t>
      </w:r>
      <w:r>
        <w:t xml:space="preserve"> </w:t>
      </w:r>
      <w:r>
        <w:rPr>
          <w:i/>
          <w:iCs/>
        </w:rPr>
        <w:t xml:space="preserve">44</w:t>
      </w:r>
      <w:r>
        <w:t xml:space="preserve">(3), 308-318. https://doi.org/10.1080/01488376.2018.1472170.</w:t>
      </w:r>
    </w:p>
    <w:p>
      <w:pPr>
        <w:pStyle w:val="BodyText"/>
      </w:pPr>
      <w:r>
        <w:t xml:space="preserve">Nawaz. (2019).</w:t>
      </w:r>
      <w:r>
        <w:t xml:space="preserve"> </w:t>
      </w:r>
      <w:r>
        <w:rPr>
          <w:i/>
          <w:iCs/>
        </w:rPr>
        <w:t xml:space="preserve">Microfinance and Women’s Socio Cultural and Political Empowerment</w:t>
      </w:r>
      <w:r>
        <w:t xml:space="preserve">. Springer International Publishing. https://doi.org/10.1007/978-3-030-13539-3_6</w:t>
      </w:r>
    </w:p>
    <w:p>
      <w:pPr>
        <w:pStyle w:val="BodyText"/>
      </w:pPr>
      <w:r>
        <w:t xml:space="preserve">Pica-Ciamarra, Tasciotti, Otte, &amp; Zezza. (2019).</w:t>
      </w:r>
      <w:r>
        <w:t xml:space="preserve"> </w:t>
      </w:r>
      <w:r>
        <w:rPr>
          <w:i/>
          <w:iCs/>
        </w:rPr>
        <w:t xml:space="preserve">Livestock assets, livestock income and rural households: cross-country evidence from household surveys</w:t>
      </w:r>
      <w:r>
        <w:t xml:space="preserve">. F1000 Research Ltd. https://doi.org/10.21955/gatesopenres.1115074.1</w:t>
      </w:r>
    </w:p>
    <w:p>
      <w:pPr>
        <w:pStyle w:val="BodyText"/>
      </w:pPr>
      <w:r>
        <w:t xml:space="preserve">Rigol, &amp; Roth. (2021).</w:t>
      </w:r>
      <w:r>
        <w:t xml:space="preserve"> </w:t>
      </w:r>
      <w:r>
        <w:rPr>
          <w:i/>
          <w:iCs/>
        </w:rPr>
        <w:t xml:space="preserve">Loan Officers Impede Graduation from Microfinance: Strategic Disclosure in a Large Microfinance Institution</w:t>
      </w:r>
      <w:r>
        <w:t xml:space="preserve">. National Bureau of Economic Research. https://doi.org/10.3386/w29427</w:t>
      </w:r>
    </w:p>
    <w:p>
      <w:pPr>
        <w:pStyle w:val="BodyText"/>
      </w:pPr>
      <w:r>
        <w:t xml:space="preserve">SINGKHALA. (2025). Common Size Analysis of the Financial Resilience of Sharia Microfinance Institutions (Lkms) in Facing Global Economic Volatility.</w:t>
      </w:r>
      <w:r>
        <w:t xml:space="preserve"> </w:t>
      </w:r>
      <w:r>
        <w:rPr>
          <w:i/>
          <w:iCs/>
        </w:rPr>
        <w:t xml:space="preserve">Jurnal Justisia Ekonomika: Magister Hukum Ekonomi Syariah</w:t>
      </w:r>
      <w:r>
        <w:t xml:space="preserve">,</w:t>
      </w:r>
      <w:r>
        <w:t xml:space="preserve"> </w:t>
      </w:r>
      <w:r>
        <w:rPr>
          <w:i/>
          <w:iCs/>
        </w:rPr>
        <w:t xml:space="preserve">9</w:t>
      </w:r>
      <w:r>
        <w:t xml:space="preserve">(2), 1472-1486. https://doi.org/10.30651/justeko.v9i2.27049.</w:t>
      </w:r>
    </w:p>
    <w:p>
      <w:pPr>
        <w:pStyle w:val="BodyText"/>
      </w:pPr>
      <w:r>
        <w:t xml:space="preserve">Tang, Bani, Ibrahim, &amp; Abdul Samad. (2026). ICT adoption, governance and microfinance efficiency in South Asia.</w:t>
      </w:r>
      <w:r>
        <w:t xml:space="preserve"> </w:t>
      </w:r>
      <w:r>
        <w:rPr>
          <w:i/>
          <w:iCs/>
        </w:rPr>
        <w:t xml:space="preserve">Discover Sustainability</w:t>
      </w:r>
      <w:r>
        <w:t xml:space="preserve">. https://doi.org/10.1007/s43621-026-03622-x.</w:t>
      </w:r>
    </w:p>
    <w:p>
      <w:pPr>
        <w:pStyle w:val="BodyText"/>
      </w:pPr>
      <w:r>
        <w:t xml:space="preserve">Toth. (2020).</w:t>
      </w:r>
      <w:r>
        <w:t xml:space="preserve"> </w:t>
      </w:r>
      <w:r>
        <w:rPr>
          <w:i/>
          <w:iCs/>
        </w:rPr>
        <w:t xml:space="preserve">Sustaining Myanmar’s microfinance sector during the COVID-19 economic crisis to support food security, resilience, and economic recovery</w:t>
      </w:r>
      <w:r>
        <w:t xml:space="preserve">. International Food Policy Research Institute. https://doi.org/10.2499/p15738coll2.133695</w:t>
      </w:r>
    </w:p>
    <w:p>
      <w:pPr>
        <w:pStyle w:val="BodyText"/>
      </w:pPr>
      <w:r>
        <w:t xml:space="preserve">Yap. (2008).</w:t>
      </w:r>
      <w:r>
        <w:t xml:space="preserve"> </w:t>
      </w:r>
      <w:r>
        <w:rPr>
          <w:i/>
          <w:iCs/>
        </w:rPr>
        <w:t xml:space="preserve">Impact of Microfinance on Rural Households in the Philippines</w:t>
      </w:r>
      <w:r>
        <w:t xml:space="preserve">. Philippine Institute for Development Studies. https://doi.org/10.62986/dp2008.05</w:t>
      </w:r>
    </w:p>
    <w:bookmarkEnd w:id="59"/>
    <w:bookmarkEnd w:id="60"/>
    <w:sectPr w:rsidR="00FC693F" w:rsidRPr="0006063C" w:rsidSect="0003461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spacing w:after="0" w:before="0" w:line="480" w:lineRule="auto"/>
      <w:ind w:firstLine="720"/>
    </w:pPr>
    <w:rPr>
      <w:rFonts w:ascii="Times New Roman" w:hAnsi="Times New Roman"/>
      <w:color w:val="000000"/>
      <w:sz w:val="24"/>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pageBreakBefore w:val="0"/>
      <w:spacing w:after="240" w:before="480" w:line="480" w:lineRule="auto"/>
      <w:ind w:firstLine="0"/>
      <w:jc w:val="center"/>
      <w:outlineLvl w:val="0"/>
    </w:pPr>
    <w:rPr>
      <w:rFonts w:ascii="Times New Roman" w:asciiTheme="majorHAnsi" w:cstheme="majorBidi" w:eastAsiaTheme="majorEastAsia" w:hAnsi="Times New Roman" w:hAnsiTheme="majorHAnsi"/>
      <w:b/>
      <w:bCs/>
      <w:color w:val="000000"/>
      <w:sz w:val="28"/>
      <w:szCs w:val="28"/>
    </w:rPr>
  </w:style>
  <w:style w:styleId="Heading2" w:type="paragraph">
    <w:name w:val="heading 2"/>
    <w:basedOn w:val="Normal"/>
    <w:next w:val="Normal"/>
    <w:link w:val="Heading2Char"/>
    <w:uiPriority w:val="9"/>
    <w:unhideWhenUsed/>
    <w:qFormat/>
    <w:rsid w:val="00FC693F"/>
    <w:pPr>
      <w:keepNext/>
      <w:keepLines/>
      <w:spacing w:after="120" w:before="360" w:line="480" w:lineRule="auto"/>
      <w:ind w:firstLine="0"/>
      <w:jc w:val="left"/>
      <w:outlineLvl w:val="1"/>
    </w:pPr>
    <w:rPr>
      <w:rFonts w:ascii="Times New Roman" w:asciiTheme="majorHAnsi" w:cstheme="majorBidi" w:eastAsiaTheme="majorEastAsia" w:hAnsi="Times New Roman" w:hAnsiTheme="majorHAnsi"/>
      <w:b/>
      <w:bCs/>
      <w:color w:val="000000"/>
      <w:sz w:val="24"/>
      <w:szCs w:val="26"/>
    </w:rPr>
  </w:style>
  <w:style w:styleId="Heading3" w:type="paragraph">
    <w:name w:val="heading 3"/>
    <w:basedOn w:val="Normal"/>
    <w:next w:val="Normal"/>
    <w:link w:val="Heading3Char"/>
    <w:uiPriority w:val="9"/>
    <w:unhideWhenUsed/>
    <w:qFormat/>
    <w:rsid w:val="00FC693F"/>
    <w:pPr>
      <w:keepNext/>
      <w:keepLines/>
      <w:spacing w:after="120" w:before="240" w:line="480" w:lineRule="auto"/>
      <w:ind w:firstLine="0"/>
      <w:jc w:val="left"/>
      <w:outlineLvl w:val="2"/>
    </w:pPr>
    <w:rPr>
      <w:rFonts w:ascii="Times New Roman" w:asciiTheme="majorHAnsi" w:cstheme="majorBidi" w:eastAsiaTheme="majorEastAsia" w:hAnsi="Times New Roman" w:hAnsiTheme="majorHAnsi"/>
      <w:b/>
      <w:bCs/>
      <w:i/>
      <w:color w:val="000000"/>
      <w:sz w:val="24"/>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240" w:before="0" w:line="480" w:lineRule="auto"/>
      <w:ind w:firstLine="0"/>
      <w:contextualSpacing/>
      <w:jc w:val="center"/>
    </w:pPr>
    <w:rPr>
      <w:rFonts w:ascii="Times New Roman" w:asciiTheme="majorHAnsi" w:cstheme="majorBidi" w:eastAsiaTheme="majorEastAsia" w:hAnsi="Times New Roman" w:hAnsiTheme="majorHAnsi"/>
      <w:b/>
      <w:color w:val="000000"/>
      <w:spacing w:val="5"/>
      <w:kern w:val="28"/>
      <w:sz w:val="3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spacing w:after="240" w:before="0"/>
      <w:ind w:firstLine="0"/>
      <w:jc w:val="center"/>
    </w:pPr>
    <w:rPr>
      <w:rFonts w:ascii="Times New Roman" w:asciiTheme="majorHAnsi" w:cstheme="majorBidi" w:eastAsiaTheme="majorEastAsia" w:hAnsi="Times New Roman" w:hAnsiTheme="majorHAnsi"/>
      <w:i/>
      <w:iCs/>
      <w:color w:val="000000"/>
      <w:spacing w:val="15"/>
      <w:sz w:val="28"/>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spacing w:after="0" w:before="0" w:line="480" w:lineRule="auto"/>
      <w:contextualSpacing/>
    </w:pPr>
    <w:rPr>
      <w:rFonts w:ascii="Times New Roman" w:hAnsi="Times New Roman"/>
      <w:sz w:val="24"/>
    </w:r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spacing w:after="0" w:before="0" w:line="480" w:lineRule="auto"/>
      <w:contextualSpacing/>
    </w:pPr>
    <w:rPr>
      <w:rFonts w:ascii="Times New Roman" w:hAnsi="Times New Roman"/>
      <w:sz w:val="24"/>
    </w:r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customStyle="1" w:styleId="BlockText" w:type="paragraph">
    <w:name w:val="Block Text"/>
    <w:pPr>
      <w:spacing w:line="480" w:lineRule="auto"/>
      <w:ind w:firstLine="0" w:left="720" w:right="720"/>
    </w:pPr>
    <w:rPr>
      <w:rFonts w:ascii="Times New Roman" w:hAnsi="Times New Roman"/>
      <w:sz w:val="24"/>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Microfinance as a Catalyst for Rural Resilience: Examining Effects on Household Coping Strategies in South Asia</dc:title>
  <dc:creator/>
  <cp:keywords/>
  <dcterms:created xsi:type="dcterms:W3CDTF">2026-07-04T08:37:52Z</dcterms:created>
  <dcterms:modified xsi:type="dcterms:W3CDTF">2026-07-04T08:37:52Z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visor">
    <vt:lpwstr/>
  </property>
  <property fmtid="{D5CDD505-2E9C-101B-9397-08002B2CF9AE}" pid="3" name="date">
    <vt:lpwstr>June 2026</vt:lpwstr>
  </property>
  <property fmtid="{D5CDD505-2E9C-101B-9397-08002B2CF9AE}" pid="4" name="degree">
    <vt:lpwstr>Bachelor of Science</vt:lpwstr>
  </property>
  <property fmtid="{D5CDD505-2E9C-101B-9397-08002B2CF9AE}" pid="5" name="department">
    <vt:lpwstr/>
  </property>
  <property fmtid="{D5CDD505-2E9C-101B-9397-08002B2CF9AE}" pid="6" name="faculty">
    <vt:lpwstr/>
  </property>
  <property fmtid="{D5CDD505-2E9C-101B-9397-08002B2CF9AE}" pid="7" name="generated_by">
    <vt:lpwstr/>
  </property>
  <property fmtid="{D5CDD505-2E9C-101B-9397-08002B2CF9AE}" pid="8" name="institution">
    <vt:lpwstr/>
  </property>
  <property fmtid="{D5CDD505-2E9C-101B-9397-08002B2CF9AE}" pid="9" name="location">
    <vt:lpwstr/>
  </property>
  <property fmtid="{D5CDD505-2E9C-101B-9397-08002B2CF9AE}" pid="10" name="pages">
    <vt:lpwstr>60</vt:lpwstr>
  </property>
  <property fmtid="{D5CDD505-2E9C-101B-9397-08002B2CF9AE}" pid="11" name="project_type">
    <vt:lpwstr>Bachelor Draft</vt:lpwstr>
  </property>
  <property fmtid="{D5CDD505-2E9C-101B-9397-08002B2CF9AE}" pid="12" name="second_examiner">
    <vt:lpwstr/>
  </property>
  <property fmtid="{D5CDD505-2E9C-101B-9397-08002B2CF9AE}" pid="13" name="student_id">
    <vt:lpwstr/>
  </property>
  <property fmtid="{D5CDD505-2E9C-101B-9397-08002B2CF9AE}" pid="14" name="word_count">
    <vt:lpwstr>15,163 words</vt:lpwstr>
  </property>
</Properties>
</file>